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94"/>
        <w:gridCol w:w="5165"/>
        <w:gridCol w:w="156"/>
        <w:gridCol w:w="80"/>
        <w:gridCol w:w="406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45C28EC" w:rsidR="00093CA9" w:rsidRDefault="00265D5C" w:rsidP="00093CA9">
            <w:r w:rsidRPr="00265D5C">
              <w:t>Government Regulation no. 33 of 2023 concerning Energy Conservation</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40C8441" w:rsidR="00093CA9" w:rsidRDefault="007A5BDD" w:rsidP="00093CA9">
            <w:hyperlink r:id="rId17" w:history="1">
              <w:r w:rsidRPr="0019546C">
                <w:rPr>
                  <w:rStyle w:val="Hyperlink"/>
                </w:rPr>
                <w:t>https://web.archive.org/web/20250730032029/https://peraturan.bpk.go.id/Details/252083/pp-no-33-tahun-2023</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320DFEAB" w:rsidR="00093CA9" w:rsidRDefault="00265D5C"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6047803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636DB896" w14:textId="77777777" w:rsidR="00654B34" w:rsidRDefault="00D06B7C" w:rsidP="00654B34">
            <w:pPr>
              <w:jc w:val="both"/>
              <w:rPr>
                <w:lang w:val="en-ID"/>
              </w:rPr>
            </w:pPr>
            <w:r w:rsidRPr="00D06B7C">
              <w:rPr>
                <w:lang w:val="en-ID"/>
              </w:rPr>
              <w:t xml:space="preserve">This </w:t>
            </w:r>
            <w:r w:rsidR="00654B34">
              <w:rPr>
                <w:lang w:val="en-ID"/>
              </w:rPr>
              <w:t>policy tool</w:t>
            </w:r>
            <w:r w:rsidRPr="00D06B7C">
              <w:rPr>
                <w:lang w:val="en-ID"/>
              </w:rPr>
              <w:t xml:space="preserve"> covers: (1) the implementation of energy conservation; (2) the provision of incentives, disincentives, and facilitation measures; (3) data and information management; and (4) guidance and supervision related to energy conservation.</w:t>
            </w:r>
            <w:r w:rsidR="00654B34">
              <w:rPr>
                <w:lang w:val="en-ID"/>
              </w:rPr>
              <w:t xml:space="preserve"> </w:t>
            </w:r>
            <w:r w:rsidRPr="00D06B7C">
              <w:rPr>
                <w:lang w:val="en-ID"/>
              </w:rPr>
              <w:t>The objective of this policy tool is to preserve domestic energy resources and enhance the efficiency of their utilization.</w:t>
            </w:r>
          </w:p>
          <w:p w14:paraId="18257824" w14:textId="55B1C3F7" w:rsidR="00093CA9" w:rsidRPr="00627002" w:rsidRDefault="00D06B7C" w:rsidP="00654B34">
            <w:pPr>
              <w:jc w:val="both"/>
              <w:rPr>
                <w:lang w:val="en-ID"/>
              </w:rPr>
            </w:pPr>
            <w:r w:rsidRPr="00D06B7C">
              <w:rPr>
                <w:lang w:val="en-ID"/>
              </w:rPr>
              <w:t>This regulation is relevant to the transition planning domain, as it requires</w:t>
            </w:r>
            <w:r>
              <w:rPr>
                <w:lang w:val="en-ID"/>
              </w:rPr>
              <w:t xml:space="preserve"> various</w:t>
            </w:r>
            <w:r w:rsidRPr="00D06B7C">
              <w:rPr>
                <w:lang w:val="en-ID"/>
              </w:rPr>
              <w:t xml:space="preserve"> entities</w:t>
            </w:r>
            <w:r>
              <w:rPr>
                <w:lang w:val="en-ID"/>
              </w:rPr>
              <w:t xml:space="preserve"> (</w:t>
            </w:r>
            <w:r w:rsidRPr="00D06B7C">
              <w:rPr>
                <w:lang w:val="en-ID"/>
              </w:rPr>
              <w:t>such as the central government, regional governments, state-owned enterprises, region-owned enterprises, and private entities</w:t>
            </w:r>
            <w:r>
              <w:rPr>
                <w:lang w:val="en-ID"/>
              </w:rPr>
              <w:t xml:space="preserve">) </w:t>
            </w:r>
            <w:r w:rsidRPr="00D06B7C">
              <w:rPr>
                <w:lang w:val="en-ID"/>
              </w:rPr>
              <w:t xml:space="preserve">to develop and implement </w:t>
            </w:r>
            <w:r w:rsidR="00B527BC">
              <w:rPr>
                <w:lang w:val="en-ID"/>
              </w:rPr>
              <w:t>increased energy efficiency</w:t>
            </w:r>
            <w:r w:rsidRPr="00D06B7C">
              <w:rPr>
                <w:lang w:val="en-ID"/>
              </w:rPr>
              <w:t xml:space="preserve"> through energy conservation </w:t>
            </w:r>
            <w:r w:rsidR="00B527BC">
              <w:rPr>
                <w:lang w:val="en-ID"/>
              </w:rPr>
              <w:t>programs</w:t>
            </w:r>
            <w:r w:rsidRPr="00D06B7C">
              <w:rPr>
                <w:lang w:val="en-ID"/>
              </w:rPr>
              <w:t>.</w:t>
            </w:r>
            <w:r w:rsidR="00B527BC">
              <w:rPr>
                <w:lang w:val="en-ID"/>
              </w:rPr>
              <w:t xml:space="preserve"> These energy conservation programs </w:t>
            </w:r>
            <w:r w:rsidR="00AF0C8E">
              <w:rPr>
                <w:lang w:val="en-ID"/>
              </w:rPr>
              <w:t>list</w:t>
            </w:r>
            <w:r w:rsidR="00B527BC">
              <w:rPr>
                <w:lang w:val="en-ID"/>
              </w:rPr>
              <w:t xml:space="preserve"> 8 types of programs which should be regulated further by the </w:t>
            </w:r>
            <w:r w:rsidR="00B527BC" w:rsidRPr="00654B34">
              <w:t>Minister of Energy and Mineral Resources (</w:t>
            </w:r>
            <w:r w:rsidR="00B527BC">
              <w:t>“</w:t>
            </w:r>
            <w:r w:rsidR="00B527BC" w:rsidRPr="00654B34">
              <w:rPr>
                <w:b/>
                <w:bCs/>
              </w:rPr>
              <w:t>MEMR</w:t>
            </w:r>
            <w:r w:rsidR="00B527BC">
              <w:t>”</w:t>
            </w:r>
            <w:r w:rsidR="0003590E">
              <w:t xml:space="preserve"> or “</w:t>
            </w:r>
            <w:r w:rsidR="0003590E" w:rsidRPr="0003590E">
              <w:rPr>
                <w:b/>
                <w:bCs/>
              </w:rPr>
              <w:t>Minister</w:t>
            </w:r>
            <w:r w:rsidR="0003590E">
              <w:t>”</w:t>
            </w:r>
            <w:r w:rsidR="00B527BC" w:rsidRPr="00654B34">
              <w:t>)</w:t>
            </w:r>
            <w:r w:rsidR="00B527BC">
              <w:rPr>
                <w:lang w:val="en-ID"/>
              </w:rPr>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05186C4C" w:rsidR="00093CA9" w:rsidRDefault="00135F5C"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58D47997" w:rsidR="00093CA9" w:rsidRDefault="00135F5C" w:rsidP="00093CA9">
            <w:r>
              <w:t xml:space="preserve">The policy tool has been approved and in force since the date of promulgation, on June 16, </w:t>
            </w:r>
            <w:r w:rsidRPr="00135F5C">
              <w:t>2023</w:t>
            </w:r>
            <w:r>
              <w: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54DCEC4E" w:rsidR="00093CA9" w:rsidRPr="00173D7C" w:rsidRDefault="00135F5C"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14629DF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94B99D3"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EFF693D"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5F41A87" w:rsidR="00093CA9" w:rsidRDefault="00654B34" w:rsidP="00093CA9">
            <w:r w:rsidRPr="00654B34">
              <w:t>This is a Government Regulation</w:t>
            </w:r>
            <w:r>
              <w:t xml:space="preserve"> </w:t>
            </w:r>
            <w:r w:rsidRPr="00654B34">
              <w:t>issued by the President of the Republic of Indonesia, as the national executive. It is a central government regulation under the authority of the President, based on powers delegated by the 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F610F13" w:rsidR="00093CA9" w:rsidRPr="006B7B0D" w:rsidRDefault="00654B34" w:rsidP="00093CA9">
            <w:r w:rsidRPr="00654B34">
              <w:t xml:space="preserve">The principal authority responsible is the </w:t>
            </w:r>
            <w:r w:rsidR="00B527BC">
              <w:t xml:space="preserve">MEMR, </w:t>
            </w:r>
            <w:r w:rsidR="001E7B86">
              <w:t xml:space="preserve">as the minister </w:t>
            </w:r>
            <w:r w:rsidR="001E7B86" w:rsidRPr="001E7B86">
              <w:t>who organizes government affairs in the Energy secto</w:t>
            </w:r>
            <w:r w:rsidR="001E7B86">
              <w:t>r. They are in charge of most monitoring activities, coordination between government levels</w:t>
            </w:r>
            <w:r w:rsidR="0061426D">
              <w:t xml:space="preserve"> (i.e. governors shall report to the Minister on the Energy Conservation implementation of their region)</w:t>
            </w:r>
            <w:r w:rsidR="001E7B86">
              <w:t xml:space="preserve">, and enacting further guidance on </w:t>
            </w:r>
            <w:r w:rsidR="0061426D">
              <w:t xml:space="preserve">topics discussed in the Regulation </w:t>
            </w:r>
            <w:r w:rsidR="001E7B86">
              <w:t>(Article 1(25), 29, 35, 37(1)</w:t>
            </w:r>
            <w:r w:rsidR="0003590E">
              <w:t>, 56(1)</w:t>
            </w:r>
            <w:r w:rsidR="001E7B86">
              <w:t>)</w:t>
            </w:r>
            <w:r w:rsidRPr="00654B34">
              <w:t xml:space="preserve">. </w:t>
            </w:r>
            <w:r w:rsidR="0003590E">
              <w:t xml:space="preserve">Additionally, they have the authority to provide both non-fiscal incentive and </w:t>
            </w:r>
            <w:r w:rsidR="00223639">
              <w:t>disincentives</w:t>
            </w:r>
            <w:r w:rsidR="0003590E">
              <w:t xml:space="preserve"> according to the </w:t>
            </w:r>
            <w:r w:rsidR="00223639">
              <w:t>performance</w:t>
            </w:r>
            <w:r w:rsidR="0003590E">
              <w:t xml:space="preserve"> of energy source users and energy providers (article 51).</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359E4C5C" w:rsidR="00093CA9" w:rsidRPr="006B7B0D" w:rsidRDefault="006A3E85"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1DC0228" w:rsidR="00093CA9" w:rsidRPr="006B7B0D" w:rsidRDefault="00086004" w:rsidP="00086004">
            <w:r w:rsidRPr="006A3E85">
              <w:t>I</w:t>
            </w:r>
            <w:r w:rsidR="006A3E85" w:rsidRPr="006A3E85">
              <w:t>nternal</w:t>
            </w:r>
            <w:r>
              <w:t xml:space="preserve"> </w:t>
            </w:r>
            <w:r w:rsidR="00223639">
              <w:t>e</w:t>
            </w:r>
            <w:r w:rsidR="006A3E85" w:rsidRPr="006A3E85">
              <w:t xml:space="preserve">nergy auditors and/or external </w:t>
            </w:r>
            <w:r w:rsidR="00223639">
              <w:t>e</w:t>
            </w:r>
            <w:r w:rsidR="006A3E85" w:rsidRPr="006A3E85">
              <w:t>nergy auditors who already have certificates of competency</w:t>
            </w:r>
            <w:r w:rsidR="00A449A8">
              <w:t>. Monitors the implementation of energy conservation programs by Energy Providers (Business Entity, Permanent Establishment, and unincorporated Business Entity that implements Energy Provision)</w:t>
            </w:r>
            <w:r w:rsidR="001E7B86">
              <w:t xml:space="preserve"> (Article 10)</w:t>
            </w:r>
            <w:r w:rsidR="00A449A8">
              <w:t xml:space="preserve">.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65801260" w:rsidR="00093CA9" w:rsidRPr="006B7B0D" w:rsidRDefault="00086004" w:rsidP="00093CA9">
            <w: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E8F9DB6" w:rsidR="00093CA9" w:rsidRPr="006B7B0D" w:rsidRDefault="0061426D" w:rsidP="00093CA9">
            <w:r>
              <w:t xml:space="preserve">Governors have some overseeing implementation capacity. </w:t>
            </w:r>
            <w:r w:rsidR="001E7B86" w:rsidRPr="001E7B86">
              <w:t xml:space="preserve">The implementation of Energy Conservation by provincial Regional Governments </w:t>
            </w:r>
            <w:r>
              <w:t>are</w:t>
            </w:r>
            <w:r w:rsidR="001E7B86" w:rsidRPr="001E7B86">
              <w:t xml:space="preserve"> carried out by provincial Regional Apparatuses and coordinated by governor</w:t>
            </w:r>
            <w:r w:rsidR="001E7B86">
              <w:t>s</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1EC47E40" w:rsidR="00093CA9" w:rsidRPr="006B7B0D" w:rsidRDefault="0061426D" w:rsidP="00093CA9">
            <w: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DAE3979" w:rsidR="00093CA9" w:rsidRPr="006B7B0D" w:rsidRDefault="0061426D" w:rsidP="00093CA9">
            <w:r>
              <w:t>R</w:t>
            </w:r>
            <w:r w:rsidRPr="001E7B86">
              <w:t>egents/mayors</w:t>
            </w:r>
            <w:r>
              <w:t xml:space="preserve"> have some overseeing implementation capacity. </w:t>
            </w:r>
            <w:r w:rsidR="001E7B86">
              <w:t>T</w:t>
            </w:r>
            <w:r w:rsidR="001E7B86" w:rsidRPr="001E7B86">
              <w:t xml:space="preserve">he implementation of Energy Conservation by regency/city Regional Governments </w:t>
            </w:r>
            <w:r>
              <w:t>are</w:t>
            </w:r>
            <w:r w:rsidR="001E7B86" w:rsidRPr="001E7B86">
              <w:t xml:space="preserve"> carried out by regency/city Regional Apparatuses and coordinated by regents/mayors</w:t>
            </w:r>
            <w:r>
              <w:t>.</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00141DB6" w:rsidR="00093CA9" w:rsidRPr="006B7B0D" w:rsidRDefault="0061426D" w:rsidP="00093CA9">
            <w:r>
              <w:t>X</w:t>
            </w:r>
          </w:p>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62C76E96"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72F21C9" w:rsidR="00093CA9" w:rsidRDefault="006A3E8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DD1B872" w14:textId="76603D2E" w:rsidR="0003590E" w:rsidRPr="0003590E" w:rsidRDefault="0003590E" w:rsidP="0003590E">
            <w:pPr>
              <w:keepNext/>
              <w:rPr>
                <w:color w:val="000000" w:themeColor="text1"/>
              </w:rPr>
            </w:pPr>
            <w:r>
              <w:rPr>
                <w:color w:val="000000" w:themeColor="text1"/>
              </w:rPr>
              <w:t xml:space="preserve">Generally, according to Article 60, </w:t>
            </w:r>
            <w:r w:rsidRPr="0003590E">
              <w:rPr>
                <w:color w:val="000000" w:themeColor="text1"/>
              </w:rPr>
              <w:t>Minister, relevant ministers/heads of institutions, governors, and regents/mayors in accordance with their respective authorities shall carry out monitoring and evaluation of Energy Conservation activities</w:t>
            </w:r>
            <w:r>
              <w:rPr>
                <w:color w:val="000000" w:themeColor="text1"/>
              </w:rPr>
              <w:t xml:space="preserve">. </w:t>
            </w:r>
            <w:r w:rsidRPr="0003590E">
              <w:rPr>
                <w:color w:val="000000" w:themeColor="text1"/>
              </w:rPr>
              <w:t xml:space="preserve">The results of </w:t>
            </w:r>
            <w:r>
              <w:rPr>
                <w:color w:val="000000" w:themeColor="text1"/>
              </w:rPr>
              <w:t xml:space="preserve">such </w:t>
            </w:r>
            <w:r w:rsidRPr="0003590E">
              <w:rPr>
                <w:color w:val="000000" w:themeColor="text1"/>
              </w:rPr>
              <w:t xml:space="preserve">monitoring and evaluation </w:t>
            </w:r>
            <w:r>
              <w:rPr>
                <w:color w:val="000000" w:themeColor="text1"/>
              </w:rPr>
              <w:t>sha</w:t>
            </w:r>
            <w:r w:rsidRPr="0003590E">
              <w:rPr>
                <w:color w:val="000000" w:themeColor="text1"/>
              </w:rPr>
              <w:t xml:space="preserve">ll </w:t>
            </w:r>
            <w:r>
              <w:rPr>
                <w:color w:val="000000" w:themeColor="text1"/>
              </w:rPr>
              <w:t xml:space="preserve">then </w:t>
            </w:r>
            <w:r w:rsidRPr="0003590E">
              <w:rPr>
                <w:color w:val="000000" w:themeColor="text1"/>
              </w:rPr>
              <w:t xml:space="preserve">be reported to the Minister for evaluation. </w:t>
            </w:r>
            <w:r>
              <w:rPr>
                <w:color w:val="000000" w:themeColor="text1"/>
              </w:rPr>
              <w:t>Aside from this, s</w:t>
            </w:r>
            <w:r w:rsidR="00086004">
              <w:rPr>
                <w:color w:val="000000" w:themeColor="text1"/>
              </w:rPr>
              <w:t xml:space="preserve">everal monitoring systems </w:t>
            </w:r>
            <w:r>
              <w:rPr>
                <w:color w:val="000000" w:themeColor="text1"/>
              </w:rPr>
              <w:t xml:space="preserve">are also </w:t>
            </w:r>
            <w:r w:rsidR="00086004">
              <w:rPr>
                <w:color w:val="000000" w:themeColor="text1"/>
              </w:rPr>
              <w:t xml:space="preserve">in place for </w:t>
            </w:r>
            <w:r>
              <w:rPr>
                <w:color w:val="000000" w:themeColor="text1"/>
              </w:rPr>
              <w:t>more specific</w:t>
            </w:r>
            <w:r w:rsidR="00B527BC">
              <w:rPr>
                <w:color w:val="000000" w:themeColor="text1"/>
              </w:rPr>
              <w:t xml:space="preserve"> </w:t>
            </w:r>
            <w:r>
              <w:rPr>
                <w:color w:val="000000" w:themeColor="text1"/>
              </w:rPr>
              <w:t>activities</w:t>
            </w:r>
            <w:r w:rsidR="00B527BC">
              <w:rPr>
                <w:color w:val="000000" w:themeColor="text1"/>
              </w:rPr>
              <w:t xml:space="preserve">: </w:t>
            </w:r>
          </w:p>
          <w:p w14:paraId="5A3E0332" w14:textId="53137DE6" w:rsidR="00093CA9" w:rsidRDefault="00086004" w:rsidP="00B527BC">
            <w:pPr>
              <w:pStyle w:val="ListParagraph"/>
              <w:keepNext/>
              <w:numPr>
                <w:ilvl w:val="0"/>
                <w:numId w:val="49"/>
              </w:numPr>
              <w:rPr>
                <w:color w:val="000000" w:themeColor="text1"/>
              </w:rPr>
            </w:pPr>
            <w:r w:rsidRPr="00B527BC">
              <w:rPr>
                <w:color w:val="000000" w:themeColor="text1"/>
              </w:rPr>
              <w:t xml:space="preserve">Internal for Energy Providers </w:t>
            </w:r>
            <w:r>
              <w:t xml:space="preserve">(Business Entity, Permanent Establishment, and unincorporated Business Entity that implements Energy Provision) </w:t>
            </w:r>
            <w:r w:rsidRPr="00B527BC">
              <w:rPr>
                <w:color w:val="000000" w:themeColor="text1"/>
              </w:rPr>
              <w:t xml:space="preserve">implementation of Energy Conservation programs Implementation of periodic Energy Audits </w:t>
            </w:r>
            <w:r w:rsidR="001E7B86">
              <w:rPr>
                <w:color w:val="000000" w:themeColor="text1"/>
              </w:rPr>
              <w:t>(Article 7 and 10)</w:t>
            </w:r>
          </w:p>
          <w:p w14:paraId="0A0C0A15" w14:textId="330BEC17" w:rsidR="001E7B86" w:rsidRPr="001E7B86" w:rsidRDefault="001E7B86" w:rsidP="001E7B86">
            <w:pPr>
              <w:pStyle w:val="ListParagraph"/>
              <w:keepNext/>
              <w:numPr>
                <w:ilvl w:val="0"/>
                <w:numId w:val="49"/>
              </w:numPr>
              <w:rPr>
                <w:color w:val="000000" w:themeColor="text1"/>
              </w:rPr>
            </w:pPr>
            <w:r w:rsidRPr="001E7B86">
              <w:rPr>
                <w:color w:val="000000" w:themeColor="text1"/>
              </w:rPr>
              <w:t>Energy Providers as referred who utilize Energy Sources and/or Energy greater than or equal to 6,000 equivalents to tons of oil per year, must carry out Energy Conservation activities through Energy Management.</w:t>
            </w:r>
            <w:r>
              <w:rPr>
                <w:color w:val="000000" w:themeColor="text1"/>
              </w:rPr>
              <w:t xml:space="preserve"> Such </w:t>
            </w:r>
            <w:r w:rsidRPr="001E7B86">
              <w:rPr>
                <w:color w:val="000000" w:themeColor="text1"/>
              </w:rPr>
              <w:t>implementation of Energy Management shall be reported to the Minister every year</w:t>
            </w:r>
            <w:r>
              <w:rPr>
                <w:color w:val="000000" w:themeColor="text1"/>
              </w:rPr>
              <w:t xml:space="preserve"> (Article 29(4)).</w:t>
            </w:r>
          </w:p>
          <w:p w14:paraId="14F92494" w14:textId="10CFED8E" w:rsidR="001E7B86" w:rsidRDefault="001E7B86" w:rsidP="00B527BC">
            <w:pPr>
              <w:pStyle w:val="ListParagraph"/>
              <w:keepNext/>
              <w:numPr>
                <w:ilvl w:val="0"/>
                <w:numId w:val="49"/>
              </w:numPr>
              <w:rPr>
                <w:color w:val="000000" w:themeColor="text1"/>
              </w:rPr>
            </w:pPr>
            <w:r>
              <w:rPr>
                <w:color w:val="000000" w:themeColor="text1"/>
              </w:rPr>
              <w:t xml:space="preserve">Implementation of energy management in in the transportation sector, the industrial sector, and the building sector shall be reported to the </w:t>
            </w:r>
            <w:r w:rsidR="0003590E">
              <w:rPr>
                <w:color w:val="000000" w:themeColor="text1"/>
              </w:rPr>
              <w:t>M</w:t>
            </w:r>
            <w:r>
              <w:rPr>
                <w:color w:val="000000" w:themeColor="text1"/>
              </w:rPr>
              <w:t>inister every year (Article 35).</w:t>
            </w:r>
          </w:p>
          <w:p w14:paraId="2C2128DB" w14:textId="4EC412D6" w:rsidR="0003590E" w:rsidRPr="0003590E" w:rsidRDefault="00DD7D0F" w:rsidP="0003590E">
            <w:pPr>
              <w:pStyle w:val="ListParagraph"/>
              <w:keepNext/>
              <w:numPr>
                <w:ilvl w:val="0"/>
                <w:numId w:val="49"/>
              </w:numPr>
              <w:rPr>
                <w:color w:val="000000" w:themeColor="text1"/>
              </w:rPr>
            </w:pPr>
            <w:r w:rsidRPr="00DD7D0F">
              <w:rPr>
                <w:color w:val="000000" w:themeColor="text1"/>
              </w:rPr>
              <w:t>The Governor and Heads of State Ministries/Agencies must submit annual reports to the Minister on the implementation of Energy Conservation activities</w:t>
            </w:r>
            <w:r>
              <w:rPr>
                <w:color w:val="000000" w:themeColor="text1"/>
              </w:rPr>
              <w:t xml:space="preserve"> (Article 41)</w:t>
            </w:r>
            <w:r w:rsidR="0003590E">
              <w:rPr>
                <w:color w:val="000000" w:themeColor="text1"/>
              </w:rPr>
              <w:t>. Consequently, t</w:t>
            </w:r>
            <w:r w:rsidR="0003590E" w:rsidRPr="0003590E">
              <w:rPr>
                <w:color w:val="000000" w:themeColor="text1"/>
              </w:rPr>
              <w:t>he Minister shall conduct monitoring and evaluation based on report</w:t>
            </w:r>
            <w:r w:rsidR="0003590E">
              <w:rPr>
                <w:color w:val="000000" w:themeColor="text1"/>
              </w:rPr>
              <w:t>s given to assess institutional performance (Article 42 and 56).</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265D5C"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2C8E21EE" w:rsidR="00C4670C" w:rsidRPr="00C37D48" w:rsidRDefault="00DC39B2" w:rsidP="00C37D48">
            <w:pPr>
              <w:rPr>
                <w:rFonts w:ascii="Calibri" w:hAnsi="Calibri" w:cs="Calibri"/>
              </w:rPr>
            </w:pPr>
            <w:r>
              <w:rPr>
                <w:rFonts w:ascii="Calibri" w:hAnsi="Calibri" w:cs="Calibri"/>
              </w:rPr>
              <w:t>X</w:t>
            </w:r>
          </w:p>
        </w:tc>
        <w:tc>
          <w:tcPr>
            <w:tcW w:w="1614" w:type="dxa"/>
            <w:vAlign w:val="center"/>
          </w:tcPr>
          <w:p w14:paraId="3B104095" w14:textId="3353C0A0" w:rsidR="00C4670C" w:rsidRPr="00C37D48" w:rsidRDefault="00AB7E5A"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63B883FF" w:rsidR="00C4670C" w:rsidRPr="00C37D48" w:rsidRDefault="00DC39B2" w:rsidP="00C37D48">
            <w:pPr>
              <w:rPr>
                <w:rFonts w:ascii="Calibri" w:hAnsi="Calibri" w:cs="Calibri"/>
              </w:rPr>
            </w:pPr>
            <w:r>
              <w:rPr>
                <w:rFonts w:ascii="Calibri" w:hAnsi="Calibri" w:cs="Calibri"/>
              </w:rPr>
              <w:t>X</w:t>
            </w:r>
          </w:p>
        </w:tc>
        <w:tc>
          <w:tcPr>
            <w:tcW w:w="1614" w:type="dxa"/>
            <w:vAlign w:val="center"/>
          </w:tcPr>
          <w:p w14:paraId="610EE987" w14:textId="448AE1AC" w:rsidR="00C4670C" w:rsidRPr="00C37D48" w:rsidRDefault="00AB7E5A"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E62F5F6" w:rsidR="00C4670C" w:rsidRPr="00C37D48" w:rsidRDefault="00C4670C" w:rsidP="00C37D48">
            <w:pPr>
              <w:rPr>
                <w:rFonts w:ascii="Calibri" w:hAnsi="Calibri" w:cs="Calibri"/>
              </w:rPr>
            </w:pPr>
          </w:p>
        </w:tc>
        <w:tc>
          <w:tcPr>
            <w:tcW w:w="1614" w:type="dxa"/>
            <w:vAlign w:val="center"/>
          </w:tcPr>
          <w:p w14:paraId="282612A2" w14:textId="3582D727" w:rsidR="00C4670C" w:rsidRPr="00C37D48" w:rsidRDefault="00A970CE" w:rsidP="00C37D48">
            <w:pPr>
              <w:rPr>
                <w:rFonts w:ascii="Calibri" w:hAnsi="Calibri" w:cs="Calibri"/>
              </w:rPr>
            </w:pPr>
            <w:r>
              <w:rPr>
                <w:rFonts w:ascii="Calibri" w:hAnsi="Calibri" w:cs="Calibri"/>
              </w:rPr>
              <w:t>X</w:t>
            </w: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481EDFEC" w:rsidR="00C4670C" w:rsidRPr="00C37D48" w:rsidRDefault="00A970CE" w:rsidP="00C37D48">
            <w:pPr>
              <w:rPr>
                <w:rFonts w:ascii="Calibri" w:hAnsi="Calibri" w:cs="Calibri"/>
              </w:rPr>
            </w:pPr>
            <w:r>
              <w:rPr>
                <w:rFonts w:ascii="Calibri" w:hAnsi="Calibri" w:cs="Calibri"/>
              </w:rPr>
              <w:t>X</w:t>
            </w:r>
          </w:p>
        </w:tc>
        <w:tc>
          <w:tcPr>
            <w:tcW w:w="1614" w:type="dxa"/>
            <w:vAlign w:val="center"/>
          </w:tcPr>
          <w:p w14:paraId="26F38350" w14:textId="1F0061E5" w:rsidR="00C4670C" w:rsidRPr="00C37D48" w:rsidRDefault="00AB7E5A" w:rsidP="00C37D48">
            <w:pPr>
              <w:rPr>
                <w:rFonts w:ascii="Calibri" w:hAnsi="Calibri" w:cs="Calibri"/>
              </w:rPr>
            </w:pPr>
            <w:r>
              <w:rPr>
                <w:rFonts w:ascii="Calibri" w:hAnsi="Calibri" w:cs="Calibri"/>
              </w:rPr>
              <w:t>X</w:t>
            </w:r>
          </w:p>
        </w:tc>
        <w:tc>
          <w:tcPr>
            <w:tcW w:w="1664" w:type="dxa"/>
            <w:vAlign w:val="center"/>
          </w:tcPr>
          <w:p w14:paraId="67015493" w14:textId="238889E5"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2CB381B" w:rsidR="00C4670C" w:rsidRPr="00C37D48" w:rsidRDefault="00A970CE" w:rsidP="00C37D48">
            <w:pPr>
              <w:rPr>
                <w:rFonts w:ascii="Calibri" w:hAnsi="Calibri" w:cs="Calibri"/>
              </w:rPr>
            </w:pPr>
            <w:r>
              <w:rPr>
                <w:rFonts w:ascii="Calibri" w:hAnsi="Calibri" w:cs="Calibri"/>
              </w:rPr>
              <w:t>X</w:t>
            </w:r>
          </w:p>
        </w:tc>
        <w:tc>
          <w:tcPr>
            <w:tcW w:w="1614" w:type="dxa"/>
            <w:vAlign w:val="center"/>
          </w:tcPr>
          <w:p w14:paraId="0962017D" w14:textId="6CB862EF" w:rsidR="00C4670C" w:rsidRPr="00C37D48" w:rsidRDefault="00AB7E5A" w:rsidP="00C37D48">
            <w:pPr>
              <w:rPr>
                <w:rFonts w:ascii="Calibri" w:hAnsi="Calibri" w:cs="Calibri"/>
              </w:rPr>
            </w:pPr>
            <w:r>
              <w:rPr>
                <w:rFonts w:ascii="Calibri" w:hAnsi="Calibri" w:cs="Calibri"/>
              </w:rPr>
              <w:t>X</w:t>
            </w:r>
          </w:p>
        </w:tc>
        <w:tc>
          <w:tcPr>
            <w:tcW w:w="1664" w:type="dxa"/>
            <w:vAlign w:val="center"/>
          </w:tcPr>
          <w:p w14:paraId="0FDFBF9A" w14:textId="2370A088"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39FD05A2" w:rsidR="00C4670C" w:rsidRPr="00C37D48" w:rsidRDefault="00DC39B2"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64A8944B" w:rsidR="00C4670C" w:rsidRPr="00C37D48" w:rsidRDefault="00DC39B2" w:rsidP="00C37D48">
            <w:pPr>
              <w:rPr>
                <w:rFonts w:ascii="Calibri" w:hAnsi="Calibri" w:cs="Calibri"/>
              </w:rPr>
            </w:pPr>
            <w:r>
              <w:rPr>
                <w:rFonts w:ascii="Calibri" w:hAnsi="Calibri" w:cs="Calibri"/>
              </w:rPr>
              <w:t>X</w:t>
            </w: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5BAB1606" w:rsidR="00C4670C" w:rsidRPr="00C37D48" w:rsidRDefault="00DC39B2"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F72950B" w:rsidR="00C4670C" w:rsidRPr="00C37D48" w:rsidRDefault="00DC39B2" w:rsidP="00C37D48">
            <w:pPr>
              <w:rPr>
                <w:rFonts w:ascii="Calibri" w:hAnsi="Calibri" w:cs="Calibri"/>
              </w:rPr>
            </w:pPr>
            <w:r>
              <w:rPr>
                <w:rFonts w:ascii="Calibri" w:hAnsi="Calibri" w:cs="Calibri"/>
              </w:rPr>
              <w:t>X</w:t>
            </w: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1AE90021" w:rsidR="00C4670C" w:rsidRPr="00C37D48" w:rsidRDefault="00DC39B2"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D2D3B33" w:rsidR="00C4670C" w:rsidRPr="00C37D48" w:rsidRDefault="00DC39B2" w:rsidP="00C37D48">
            <w:pPr>
              <w:rPr>
                <w:rFonts w:ascii="Calibri" w:hAnsi="Calibri" w:cs="Calibri"/>
              </w:rPr>
            </w:pPr>
            <w:r>
              <w:rPr>
                <w:rFonts w:ascii="Calibri" w:hAnsi="Calibri" w:cs="Calibri"/>
              </w:rPr>
              <w:t>X</w:t>
            </w: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6781FFCD" w:rsidR="00C4670C" w:rsidRPr="00C37D48" w:rsidRDefault="00DC39B2" w:rsidP="00C37D48">
            <w:pPr>
              <w:rPr>
                <w:rFonts w:ascii="Calibri" w:hAnsi="Calibri" w:cs="Calibri"/>
              </w:rPr>
            </w:pPr>
            <w:r>
              <w:rPr>
                <w:rFonts w:ascii="Calibri" w:hAnsi="Calibri" w:cs="Calibri"/>
              </w:rP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599D0F96" w14:textId="79A909F0" w:rsidR="005C7FCD" w:rsidRPr="005C7FCD" w:rsidRDefault="005C7FCD" w:rsidP="005C7FCD">
            <w:pPr>
              <w:rPr>
                <w:rFonts w:ascii="Calibri" w:hAnsi="Calibri" w:cs="Calibri"/>
                <w:lang w:val="en-ID"/>
              </w:rPr>
            </w:pPr>
            <w:r w:rsidRPr="005C7FCD">
              <w:rPr>
                <w:rFonts w:ascii="Calibri" w:hAnsi="Calibri" w:cs="Calibri"/>
                <w:lang w:val="en-ID"/>
              </w:rPr>
              <w:t>One of the main targeted entities in the policy tool is the Energy Provider, which refers to a Business Entity, Permanent Establishment, or Unincorporated Business Entity engaged in Energy Provision. A Business Entity, as defined in the regulation, is a company in the form of a legal entity that conducts business activities on a permanent and continuous basis, is established in accordance with prevailing laws and regulations, and operates and is domiciled within the territory of the Unitary State of the Republic of Indonesia.</w:t>
            </w:r>
          </w:p>
          <w:p w14:paraId="3809EB32" w14:textId="1E2B2EA4" w:rsidR="005C7FCD" w:rsidRPr="005C7FCD" w:rsidRDefault="005C7FCD" w:rsidP="005C7FCD">
            <w:pPr>
              <w:rPr>
                <w:rFonts w:ascii="Calibri" w:hAnsi="Calibri" w:cs="Calibri"/>
                <w:lang w:val="en-ID"/>
              </w:rPr>
            </w:pPr>
            <w:r w:rsidRPr="005C7FCD">
              <w:rPr>
                <w:rFonts w:ascii="Calibri" w:hAnsi="Calibri" w:cs="Calibri"/>
                <w:lang w:val="en-ID"/>
              </w:rPr>
              <w:lastRenderedPageBreak/>
              <w:t>Other targeted groups include Energy Source Users and Energy Users. These are defined as the Central Government, Regional Governments, Business Entities, Permanent Establishments, Unincorporated Business Entities, and the community that engage in the utilization of energy or energy sources.</w:t>
            </w:r>
          </w:p>
          <w:p w14:paraId="28FA68F6" w14:textId="6F90B98C" w:rsidR="00AB7E5A" w:rsidRPr="00AD76E5" w:rsidRDefault="005C7FCD" w:rsidP="005C7FCD">
            <w:pPr>
              <w:rPr>
                <w:rFonts w:ascii="Calibri" w:hAnsi="Calibri" w:cs="Calibri"/>
                <w:lang w:val="en-ID"/>
              </w:rPr>
            </w:pPr>
            <w:r w:rsidRPr="005C7FCD">
              <w:rPr>
                <w:rFonts w:ascii="Calibri" w:hAnsi="Calibri" w:cs="Calibri"/>
                <w:lang w:val="en-ID"/>
              </w:rPr>
              <w:t>For business entities—which may fall under all three categories (Energy Providers, Energy Source Users, and Energy Users)—whether compliance is mandatory or voluntary depends on the sector in which they operate and the scale of their operations. As such, publicly traded entities, private companies, small and medium-sized enterprises, and state-owned companies may be subject to either mandatory or voluntary obligations under this policy framework.</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lastRenderedPageBreak/>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683515B6" w:rsidR="004F276F" w:rsidRPr="00C37D48" w:rsidRDefault="004F276F" w:rsidP="00C37D48">
            <w:pPr>
              <w:rPr>
                <w:rFonts w:ascii="Calibri" w:hAnsi="Calibri" w:cs="Calibri"/>
              </w:rPr>
            </w:pPr>
          </w:p>
        </w:tc>
        <w:tc>
          <w:tcPr>
            <w:tcW w:w="1614" w:type="dxa"/>
            <w:vAlign w:val="center"/>
          </w:tcPr>
          <w:p w14:paraId="6D29C210" w14:textId="40E49B9A" w:rsidR="004F276F" w:rsidRPr="00C37D48" w:rsidRDefault="00DC39B2"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54D296D" w:rsidR="004F276F" w:rsidRPr="00C37D48" w:rsidRDefault="00DC39B2"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3678C089" w:rsidR="004F276F" w:rsidRPr="00C37D48" w:rsidRDefault="00DC39B2"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20A6419C" w:rsidR="004F276F" w:rsidRPr="00C37D48" w:rsidRDefault="00DC39B2"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0D9816EC" w:rsidR="004F276F" w:rsidRPr="00C37D48" w:rsidRDefault="00DC39B2"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1EB40911" w:rsidR="004F276F" w:rsidRPr="00C37D48" w:rsidRDefault="00DC39B2" w:rsidP="00C37D48">
            <w:pPr>
              <w:rPr>
                <w:rFonts w:ascii="Calibri" w:hAnsi="Calibri" w:cs="Calibri"/>
              </w:rPr>
            </w:pPr>
            <w:r>
              <w:rPr>
                <w:rFonts w:ascii="Calibri" w:hAnsi="Calibri" w:cs="Calibri"/>
              </w:rPr>
              <w:t>x</w:t>
            </w: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1659EA97" w:rsidR="004F276F" w:rsidRPr="00C37D48" w:rsidRDefault="00DC39B2" w:rsidP="00C37D48">
            <w:pPr>
              <w:rPr>
                <w:rFonts w:ascii="Calibri" w:hAnsi="Calibri" w:cs="Calibri"/>
              </w:rPr>
            </w:pPr>
            <w:r w:rsidRPr="00DC39B2">
              <w:rPr>
                <w:rFonts w:ascii="Calibri" w:hAnsi="Calibri" w:cs="Calibri"/>
              </w:rPr>
              <w:t>The government shall synergize with Bank Indonesia and the Financial Services Authority to encourage institutions within the financial sector to support the financing of Energy Conservation</w:t>
            </w:r>
            <w:r>
              <w:rPr>
                <w:rFonts w:ascii="Calibri" w:hAnsi="Calibri" w:cs="Calibri"/>
              </w:rPr>
              <w:t xml:space="preserve"> (Article 16).</w:t>
            </w: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3BFB01E9" w:rsidR="004F276F" w:rsidRPr="00C37D48" w:rsidRDefault="00DC39B2"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19A7DBE1"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57AB0993" w:rsidR="004F276F" w:rsidRPr="00C37D48" w:rsidRDefault="00A03961"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07C6B727" w:rsidR="004F276F" w:rsidRPr="00C37D48" w:rsidRDefault="00DC39B2"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BC7D31D" w:rsidR="004F276F" w:rsidRPr="00C37D48" w:rsidRDefault="00DC39B2"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050284E4"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4CB0D7B3" w:rsidR="004F276F" w:rsidRPr="00C37D48" w:rsidRDefault="00DC39B2"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09ED0A3F" w:rsidR="004F276F" w:rsidRPr="00C37D48" w:rsidRDefault="00DC39B2" w:rsidP="00C37D48">
            <w:pPr>
              <w:rPr>
                <w:rFonts w:ascii="Calibri" w:hAnsi="Calibri" w:cs="Calibri"/>
              </w:rPr>
            </w:pPr>
            <w:r>
              <w:rPr>
                <w:rFonts w:ascii="Calibri" w:hAnsi="Calibri" w:cs="Calibri"/>
              </w:rPr>
              <w:t>x</w:t>
            </w: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1B5FAB9D"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404756D0" w:rsidR="004F276F" w:rsidRPr="00C37D48" w:rsidRDefault="00DC39B2"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0BDA4CEC" w:rsidR="004F276F" w:rsidRPr="00C37D48" w:rsidRDefault="00DC39B2" w:rsidP="00C37D48">
            <w:pPr>
              <w:rPr>
                <w:rFonts w:ascii="Calibri" w:hAnsi="Calibri" w:cs="Calibri"/>
              </w:rPr>
            </w:pPr>
            <w:r>
              <w:rPr>
                <w:rFonts w:ascii="Calibri" w:hAnsi="Calibri" w:cs="Calibri"/>
              </w:rPr>
              <w:t>X</w:t>
            </w: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50C5A7AA" w:rsidR="004F276F" w:rsidRPr="00C37D48" w:rsidRDefault="00DC39B2"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49BE0BDC" w:rsidR="004F276F" w:rsidRPr="00C37D48" w:rsidRDefault="00DC39B2"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30CE9EA7" w:rsidR="004F276F" w:rsidRPr="00C37D48" w:rsidRDefault="004F276F" w:rsidP="00C37D48">
            <w:pPr>
              <w:rPr>
                <w:rFonts w:ascii="Calibri" w:hAnsi="Calibri" w:cs="Calibri"/>
              </w:rPr>
            </w:pPr>
          </w:p>
        </w:tc>
        <w:tc>
          <w:tcPr>
            <w:tcW w:w="1614" w:type="dxa"/>
            <w:vAlign w:val="center"/>
          </w:tcPr>
          <w:p w14:paraId="6B38F8D5" w14:textId="01A9307B" w:rsidR="004F276F" w:rsidRPr="00C37D48" w:rsidRDefault="00DC39B2" w:rsidP="00C37D48">
            <w:pPr>
              <w:rPr>
                <w:rFonts w:ascii="Calibri" w:hAnsi="Calibri" w:cs="Calibri"/>
              </w:rPr>
            </w:pPr>
            <w:r>
              <w:rPr>
                <w:rFonts w:ascii="Calibri" w:hAnsi="Calibri" w:cs="Calibri"/>
              </w:rPr>
              <w:t>X</w:t>
            </w: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65AED5B9"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5C52FD22" w:rsidR="004F276F" w:rsidRPr="00C37D48" w:rsidRDefault="00DC39B2"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359BCC84" w:rsidR="004F276F" w:rsidRPr="00C37D48" w:rsidRDefault="004F276F" w:rsidP="00C37D48">
            <w:pPr>
              <w:rPr>
                <w:rFonts w:ascii="Calibri" w:hAnsi="Calibri" w:cs="Calibri"/>
              </w:rPr>
            </w:pPr>
          </w:p>
        </w:tc>
        <w:tc>
          <w:tcPr>
            <w:tcW w:w="1614" w:type="dxa"/>
            <w:vAlign w:val="center"/>
          </w:tcPr>
          <w:p w14:paraId="0471519E" w14:textId="3501B673" w:rsidR="004F276F" w:rsidRPr="00C37D48" w:rsidRDefault="00AB7E5A" w:rsidP="00C37D48">
            <w:pPr>
              <w:rPr>
                <w:rFonts w:ascii="Calibri" w:hAnsi="Calibri" w:cs="Calibri"/>
              </w:rPr>
            </w:pPr>
            <w:r>
              <w:rPr>
                <w:rFonts w:ascii="Calibri" w:hAnsi="Calibri" w:cs="Calibri"/>
              </w:rPr>
              <w:t>X</w:t>
            </w:r>
          </w:p>
        </w:tc>
        <w:tc>
          <w:tcPr>
            <w:tcW w:w="1664" w:type="dxa"/>
            <w:vAlign w:val="center"/>
          </w:tcPr>
          <w:p w14:paraId="0A54D42C" w14:textId="09131BFE"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67DA2622" w:rsidR="004F276F" w:rsidRPr="00C37D48" w:rsidRDefault="00DC39B2" w:rsidP="00C37D48">
            <w:pPr>
              <w:rPr>
                <w:rFonts w:ascii="Calibri" w:hAnsi="Calibri" w:cs="Calibri"/>
              </w:rPr>
            </w:pPr>
            <w:r>
              <w:rPr>
                <w:rFonts w:ascii="Calibri" w:hAnsi="Calibri" w:cs="Calibri"/>
              </w:rPr>
              <w:t>X</w:t>
            </w: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36F5CC8E" w:rsidR="004F276F" w:rsidRPr="00C37D48" w:rsidRDefault="00DC39B2"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1DC13318"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17D1E6FA" w:rsidR="004F276F" w:rsidRPr="00C37D48" w:rsidRDefault="00AB7E5A"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4B73F60E" w:rsidR="004F276F" w:rsidRPr="00C37D48" w:rsidRDefault="00DC39B2" w:rsidP="00C37D48">
            <w:pPr>
              <w:rPr>
                <w:rFonts w:ascii="Calibri" w:hAnsi="Calibri" w:cs="Calibri"/>
              </w:rPr>
            </w:pPr>
            <w:r>
              <w:rPr>
                <w:rFonts w:ascii="Calibri" w:hAnsi="Calibri" w:cs="Calibri"/>
              </w:rPr>
              <w:t>X</w:t>
            </w: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131FF12D"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3BB2F604" w:rsidR="004F276F" w:rsidRPr="00C37D48" w:rsidRDefault="00DC39B2"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5B94BD96" w:rsidR="004F276F" w:rsidRPr="00C37D48" w:rsidRDefault="00DC39B2"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54D60317" w:rsidR="004F276F" w:rsidRPr="00C37D48" w:rsidRDefault="004F276F" w:rsidP="00C37D48">
            <w:pPr>
              <w:rPr>
                <w:rFonts w:ascii="Calibri" w:hAnsi="Calibri" w:cs="Calibri"/>
              </w:rPr>
            </w:pPr>
          </w:p>
        </w:tc>
        <w:tc>
          <w:tcPr>
            <w:tcW w:w="1614" w:type="dxa"/>
            <w:vAlign w:val="center"/>
          </w:tcPr>
          <w:p w14:paraId="42634018" w14:textId="314170E8" w:rsidR="004F276F" w:rsidRPr="00C37D48" w:rsidRDefault="00C80C07" w:rsidP="00C37D48">
            <w:pPr>
              <w:rPr>
                <w:rFonts w:ascii="Calibri" w:hAnsi="Calibri" w:cs="Calibri"/>
              </w:rPr>
            </w:pPr>
            <w:r>
              <w:rPr>
                <w:rFonts w:ascii="Calibri" w:hAnsi="Calibri" w:cs="Calibri"/>
              </w:rPr>
              <w:t>X</w:t>
            </w: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6FCF7683" w:rsidR="004F276F" w:rsidRPr="00C37D48" w:rsidRDefault="00DC39B2"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1FE4FC39" w:rsidR="004F276F" w:rsidRPr="00A03961" w:rsidRDefault="004F276F" w:rsidP="00C37D48">
            <w:pPr>
              <w:rPr>
                <w:rFonts w:ascii="Calibri" w:hAnsi="Calibri" w:cs="Calibri"/>
                <w:lang w:val="en-ID"/>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CDADB65" w14:textId="25C4B9FE" w:rsidR="00A03961" w:rsidRPr="00A03961" w:rsidRDefault="00A03961" w:rsidP="00A03961">
            <w:pPr>
              <w:rPr>
                <w:rFonts w:ascii="Calibri" w:hAnsi="Calibri" w:cs="Calibri"/>
                <w:lang w:val="en-ID"/>
              </w:rPr>
            </w:pPr>
            <w:r w:rsidRPr="00A03961">
              <w:rPr>
                <w:rFonts w:ascii="Calibri" w:hAnsi="Calibri" w:cs="Calibri"/>
              </w:rPr>
              <w:t xml:space="preserve">For </w:t>
            </w:r>
            <w:r w:rsidR="00223639" w:rsidRPr="00A03961">
              <w:rPr>
                <w:rFonts w:ascii="Calibri" w:hAnsi="Calibri" w:cs="Calibri"/>
              </w:rPr>
              <w:t>example,</w:t>
            </w:r>
            <w:r w:rsidRPr="00A03961">
              <w:rPr>
                <w:rFonts w:ascii="Calibri" w:hAnsi="Calibri" w:cs="Calibri"/>
              </w:rPr>
              <w:t xml:space="preserve"> within Article 45, households and the community is </w:t>
            </w:r>
            <w:r w:rsidR="00223639" w:rsidRPr="00A03961">
              <w:rPr>
                <w:rFonts w:ascii="Calibri" w:hAnsi="Calibri" w:cs="Calibri"/>
              </w:rPr>
              <w:t>targeted</w:t>
            </w:r>
            <w:r w:rsidRPr="00A03961">
              <w:rPr>
                <w:rFonts w:ascii="Calibri" w:hAnsi="Calibri" w:cs="Calibri"/>
              </w:rPr>
              <w:t xml:space="preserve"> by the </w:t>
            </w:r>
            <w:r w:rsidR="00223639" w:rsidRPr="00A03961">
              <w:rPr>
                <w:rFonts w:ascii="Calibri" w:hAnsi="Calibri" w:cs="Calibri"/>
              </w:rPr>
              <w:t>policy</w:t>
            </w:r>
            <w:r w:rsidRPr="00A03961">
              <w:rPr>
                <w:rFonts w:ascii="Calibri" w:hAnsi="Calibri" w:cs="Calibri"/>
              </w:rPr>
              <w:t xml:space="preserve"> tool. It </w:t>
            </w:r>
            <w:r w:rsidR="00223639" w:rsidRPr="00A03961">
              <w:rPr>
                <w:rFonts w:ascii="Calibri" w:hAnsi="Calibri" w:cs="Calibri"/>
              </w:rPr>
              <w:t>stipulates</w:t>
            </w:r>
            <w:r w:rsidRPr="00A03961">
              <w:rPr>
                <w:rFonts w:ascii="Calibri" w:hAnsi="Calibri" w:cs="Calibri"/>
              </w:rPr>
              <w:t xml:space="preserve"> that t</w:t>
            </w:r>
            <w:r w:rsidRPr="00A03961">
              <w:rPr>
                <w:rFonts w:ascii="Calibri" w:hAnsi="Calibri" w:cs="Calibri"/>
                <w:lang w:val="en-ID"/>
              </w:rPr>
              <w:t>he community plays a role in Energy Conservation by using energy-saving technology, reducing household energy use, using mass transportation, and promoting energy-saving awareness at home and work.</w:t>
            </w:r>
          </w:p>
          <w:p w14:paraId="41EA3B18" w14:textId="602CEB26" w:rsidR="004F276F" w:rsidRPr="00A03961" w:rsidRDefault="00A03961" w:rsidP="00A03961">
            <w:pPr>
              <w:rPr>
                <w:rFonts w:ascii="Calibri" w:hAnsi="Calibri" w:cs="Calibri"/>
              </w:rPr>
            </w:pPr>
            <w:r w:rsidRPr="00A03961">
              <w:rPr>
                <w:rFonts w:ascii="Calibri" w:hAnsi="Calibri" w:cs="Calibri"/>
                <w:lang w:val="en-ID"/>
              </w:rPr>
              <w:t xml:space="preserve">Another example is under Article 31, the transportation sector is </w:t>
            </w:r>
            <w:r w:rsidR="00223639" w:rsidRPr="00A03961">
              <w:rPr>
                <w:rFonts w:ascii="Calibri" w:hAnsi="Calibri" w:cs="Calibri"/>
                <w:lang w:val="en-ID"/>
              </w:rPr>
              <w:t>targeted</w:t>
            </w:r>
            <w:r w:rsidRPr="00A03961">
              <w:rPr>
                <w:rFonts w:ascii="Calibri" w:hAnsi="Calibri" w:cs="Calibri"/>
                <w:lang w:val="en-ID"/>
              </w:rPr>
              <w:t xml:space="preserve">. </w:t>
            </w:r>
            <w:r>
              <w:rPr>
                <w:rFonts w:ascii="Calibri" w:hAnsi="Calibri" w:cs="Calibri"/>
                <w:lang w:val="en-ID"/>
              </w:rPr>
              <w:t xml:space="preserve">According to the policy tool, </w:t>
            </w:r>
            <w:r w:rsidR="00223639" w:rsidRPr="00A03961">
              <w:rPr>
                <w:rFonts w:ascii="Calibri" w:hAnsi="Calibri" w:cs="Calibri"/>
              </w:rPr>
              <w:t>transportation</w:t>
            </w:r>
            <w:r w:rsidRPr="00A03961">
              <w:rPr>
                <w:rFonts w:ascii="Calibri" w:hAnsi="Calibri" w:cs="Calibri"/>
              </w:rPr>
              <w:t xml:space="preserve"> sector energy users consuming 4,000 or more tons of oil equivalent per year must implement Energy Management, while those using less may do so.</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5077A774"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8A49D45" w:rsidR="004F276F" w:rsidRPr="00C37D48" w:rsidRDefault="004F276F" w:rsidP="00C37D48">
            <w:pPr>
              <w:rPr>
                <w:rFonts w:ascii="Calibri" w:hAnsi="Calibri" w:cs="Calibri"/>
              </w:rPr>
            </w:pPr>
          </w:p>
        </w:tc>
      </w:tr>
      <w:tr w:rsidR="004F276F" w:rsidRPr="00265D5C"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1D679E90"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50464A03"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2124FC59"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10B72166" w:rsidR="004F276F" w:rsidRPr="00C37D48" w:rsidRDefault="00A03961" w:rsidP="00C37D48">
            <w:pPr>
              <w:rPr>
                <w:rFonts w:ascii="Calibri" w:hAnsi="Calibri" w:cs="Calibri"/>
              </w:rPr>
            </w:pPr>
            <w:r>
              <w:rPr>
                <w:rFonts w:ascii="Calibri" w:hAnsi="Calibri" w:cs="Calibri"/>
              </w:rPr>
              <w:t xml:space="preserve">The </w:t>
            </w:r>
            <w:r w:rsidR="00223639">
              <w:rPr>
                <w:rFonts w:ascii="Calibri" w:hAnsi="Calibri" w:cs="Calibri"/>
              </w:rPr>
              <w:t>threshold</w:t>
            </w:r>
            <w:r>
              <w:rPr>
                <w:rFonts w:ascii="Calibri" w:hAnsi="Calibri" w:cs="Calibri"/>
              </w:rPr>
              <w:t xml:space="preserve"> criteria is determined by the amount of oil/energy being managed by the energy provider. For example, in the industrial </w:t>
            </w:r>
            <w:r w:rsidRPr="00A03961">
              <w:rPr>
                <w:rFonts w:ascii="Calibri" w:hAnsi="Calibri" w:cs="Calibri"/>
              </w:rPr>
              <w:t>sector</w:t>
            </w:r>
            <w:r>
              <w:rPr>
                <w:rFonts w:ascii="Calibri" w:hAnsi="Calibri" w:cs="Calibri"/>
              </w:rPr>
              <w:t>,</w:t>
            </w:r>
            <w:r w:rsidRPr="00A03961">
              <w:rPr>
                <w:rFonts w:ascii="Calibri" w:hAnsi="Calibri" w:cs="Calibri"/>
              </w:rPr>
              <w:t xml:space="preserve"> energy users consuming 4,000 or more tons of oil equivalent per year must implement Energy Management, while those using less may do so.</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245D6EF9" w:rsidR="004F276F" w:rsidRPr="00C37D48" w:rsidRDefault="00A03961"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5B2CD56A"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lastRenderedPageBreak/>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329002D3"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44A96B8E" w:rsidR="004F276F" w:rsidRPr="00C37D48" w:rsidRDefault="00C80C07" w:rsidP="00C37D48">
            <w:pPr>
              <w:rPr>
                <w:rFonts w:ascii="Calibri" w:hAnsi="Calibri" w:cs="Calibri"/>
              </w:rPr>
            </w:pPr>
            <w:r>
              <w:rPr>
                <w:rFonts w:ascii="Calibri" w:hAnsi="Calibri" w:cs="Calibri"/>
              </w:rPr>
              <w:t>X</w:t>
            </w: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B3F40E4" w:rsidR="00A03961" w:rsidRPr="00C37D48" w:rsidRDefault="00C80C07" w:rsidP="00C37D48">
            <w:pPr>
              <w:rPr>
                <w:rFonts w:ascii="Calibri" w:hAnsi="Calibri" w:cs="Calibri"/>
              </w:rPr>
            </w:pPr>
            <w:r w:rsidRPr="00C80C07">
              <w:rPr>
                <w:rFonts w:ascii="Calibri" w:hAnsi="Calibri" w:cs="Calibri"/>
              </w:rPr>
              <w:t>Disincentives may include a written warning, public announcement in the media, and/or a recommendation to revoke previously granted incentives.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59C92321" w:rsidR="001F30DE" w:rsidRPr="00C37D48" w:rsidRDefault="00C80C07" w:rsidP="00C37D48">
            <w:pPr>
              <w:rPr>
                <w:rFonts w:ascii="Calibri" w:hAnsi="Calibri" w:cs="Calibri"/>
              </w:rPr>
            </w:pPr>
            <w:r>
              <w:rPr>
                <w:rFonts w:ascii="Calibri" w:hAnsi="Calibri" w:cs="Calibri"/>
              </w:rPr>
              <w:t>X</w:t>
            </w: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6AFFBADB" w14:textId="77777777" w:rsidR="001F30DE" w:rsidRDefault="001F30DE" w:rsidP="00C37D48">
            <w:pPr>
              <w:rPr>
                <w:rFonts w:ascii="Calibri" w:hAnsi="Calibri" w:cs="Calibri"/>
              </w:rPr>
            </w:pPr>
          </w:p>
          <w:p w14:paraId="3BA84EFA" w14:textId="1C1E05B8" w:rsidR="005F717E" w:rsidRPr="00C37D48" w:rsidRDefault="005F717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lastRenderedPageBreak/>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lastRenderedPageBreak/>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1374A7D6" w:rsidR="001F30DE" w:rsidRPr="00C37D48" w:rsidRDefault="00C80C07"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3BDD9C0B"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15407515" w:rsidR="001F30DE" w:rsidRPr="00C37D48" w:rsidRDefault="00C80C07"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1EE29552"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2043CA00" w:rsidR="004F48E8" w:rsidRPr="00C37D48" w:rsidRDefault="00C80C0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1250A795" w:rsidR="000A1365" w:rsidRPr="00C37D48" w:rsidRDefault="00AD76E5"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47C95863"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57094B40" w:rsidR="00D27551" w:rsidRPr="00C37D48" w:rsidRDefault="00AD76E5" w:rsidP="002E57D2">
            <w:pPr>
              <w:rPr>
                <w:rFonts w:ascii="Calibri" w:hAnsi="Calibri" w:cs="Calibri"/>
              </w:rPr>
            </w:pPr>
            <w:r>
              <w:rPr>
                <w:rFonts w:ascii="Calibri" w:hAnsi="Calibri" w:cs="Calibri"/>
              </w:rPr>
              <w:t xml:space="preserve">No specific targets are required to be made. </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1A98B244" w:rsidR="000A1365" w:rsidRPr="00C37D48" w:rsidRDefault="00AD76E5"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6EFB9046" w:rsidR="00C81DE5" w:rsidRPr="00C37D48" w:rsidRDefault="00AD76E5"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lastRenderedPageBreak/>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3C7377EB" w:rsidR="00890032" w:rsidRPr="00C37D48" w:rsidRDefault="00AD76E5"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188CE55C" w14:textId="71956C3A" w:rsidR="005C7FCD" w:rsidRDefault="005C7FCD" w:rsidP="005C7FCD">
            <w:pPr>
              <w:rPr>
                <w:rFonts w:ascii="Calibri" w:hAnsi="Calibri" w:cs="Calibri"/>
                <w:lang w:val="en-ID"/>
              </w:rPr>
            </w:pPr>
            <w:r>
              <w:rPr>
                <w:rFonts w:ascii="Calibri" w:hAnsi="Calibri" w:cs="Calibri"/>
                <w:lang w:val="en-ID"/>
              </w:rPr>
              <w:t xml:space="preserve">The targeted </w:t>
            </w:r>
            <w:r w:rsidR="00223639">
              <w:rPr>
                <w:rFonts w:ascii="Calibri" w:hAnsi="Calibri" w:cs="Calibri"/>
                <w:lang w:val="en-ID"/>
              </w:rPr>
              <w:t>entities</w:t>
            </w:r>
            <w:r>
              <w:rPr>
                <w:rFonts w:ascii="Calibri" w:hAnsi="Calibri" w:cs="Calibri"/>
                <w:lang w:val="en-ID"/>
              </w:rPr>
              <w:t xml:space="preserve"> are the same. </w:t>
            </w:r>
          </w:p>
          <w:p w14:paraId="00456EF0" w14:textId="04AD0EB1" w:rsidR="005C7FCD" w:rsidRPr="005C7FCD" w:rsidRDefault="005C7FCD" w:rsidP="005C7FCD">
            <w:pPr>
              <w:rPr>
                <w:rFonts w:ascii="Calibri" w:hAnsi="Calibri" w:cs="Calibri"/>
                <w:lang w:val="en-ID"/>
              </w:rPr>
            </w:pPr>
            <w:r>
              <w:rPr>
                <w:rFonts w:ascii="Calibri" w:hAnsi="Calibri" w:cs="Calibri"/>
                <w:lang w:val="en-ID"/>
              </w:rPr>
              <w:t xml:space="preserve">The </w:t>
            </w:r>
            <w:r w:rsidRPr="005C7FCD">
              <w:rPr>
                <w:rFonts w:ascii="Calibri" w:hAnsi="Calibri" w:cs="Calibri"/>
                <w:lang w:val="en-ID"/>
              </w:rPr>
              <w:t xml:space="preserve">preparation of an Energy Conservation program is required for a broad range of entities, including Energy Providers, Energy Source Users, and/or Energy Users. Energy Providers refer to Business Entities, Permanent Establishments, and Unincorporated Business Entities engaged in Energy Provision. They are both required and recommended to develop transition planning. Energy Source Users include the Central Government, Regional Governments, Business Entities, Permanent Establishments, Unincorporated Business Entities, and the community that utilize Energy Sources. They too are both required and recommended to develop transition planning. Energy Users encompass the same categories but are specifically involved in Energy </w:t>
            </w:r>
            <w:r w:rsidR="00223639" w:rsidRPr="005C7FCD">
              <w:rPr>
                <w:rFonts w:ascii="Calibri" w:hAnsi="Calibri" w:cs="Calibri"/>
                <w:lang w:val="en-ID"/>
              </w:rPr>
              <w:t>Utilization and</w:t>
            </w:r>
            <w:r w:rsidRPr="005C7FCD">
              <w:rPr>
                <w:rFonts w:ascii="Calibri" w:hAnsi="Calibri" w:cs="Calibri"/>
                <w:lang w:val="en-ID"/>
              </w:rPr>
              <w:t xml:space="preserve"> are likewise both required and recommended to develop transition planning.</w:t>
            </w:r>
          </w:p>
          <w:p w14:paraId="02BD9D25" w14:textId="38E87AAB" w:rsidR="005C7FCD" w:rsidRPr="005C7FCD" w:rsidRDefault="005C7FCD" w:rsidP="005C7FCD">
            <w:pPr>
              <w:rPr>
                <w:rFonts w:ascii="Calibri" w:hAnsi="Calibri" w:cs="Calibri"/>
                <w:lang w:val="en-ID"/>
              </w:rPr>
            </w:pPr>
            <w:r w:rsidRPr="005C7FCD">
              <w:rPr>
                <w:rFonts w:ascii="Calibri" w:hAnsi="Calibri" w:cs="Calibri"/>
                <w:lang w:val="en-ID"/>
              </w:rPr>
              <w:t xml:space="preserve">Therefore, the targeted entities essentially include all those listed in Q2.1, except for non-profit organizations, which are not regulated. Among the targeted entities listed in Q2.1, </w:t>
            </w:r>
            <w:r>
              <w:rPr>
                <w:rFonts w:ascii="Calibri" w:hAnsi="Calibri" w:cs="Calibri"/>
                <w:lang w:val="en-ID"/>
              </w:rPr>
              <w:t>entities</w:t>
            </w:r>
            <w:r w:rsidRPr="005C7FCD">
              <w:rPr>
                <w:rFonts w:ascii="Calibri" w:hAnsi="Calibri" w:cs="Calibri"/>
                <w:lang w:val="en-ID"/>
              </w:rPr>
              <w:t xml:space="preserve"> operating in the transportation, industrial, and building sectors are subject to mandatory requirements</w:t>
            </w:r>
            <w:r>
              <w:rPr>
                <w:rFonts w:ascii="Calibri" w:hAnsi="Calibri" w:cs="Calibri"/>
                <w:lang w:val="en-ID"/>
              </w:rPr>
              <w:t xml:space="preserve">, others are merely </w:t>
            </w:r>
            <w:r w:rsidR="00223639">
              <w:rPr>
                <w:rFonts w:ascii="Calibri" w:hAnsi="Calibri" w:cs="Calibri"/>
                <w:lang w:val="en-ID"/>
              </w:rPr>
              <w:t>recommended</w:t>
            </w:r>
            <w:r w:rsidRPr="005C7FCD">
              <w:rPr>
                <w:rFonts w:ascii="Calibri" w:hAnsi="Calibri" w:cs="Calibri"/>
                <w:lang w:val="en-ID"/>
              </w:rPr>
              <w:t>.</w:t>
            </w:r>
          </w:p>
          <w:p w14:paraId="3F425183" w14:textId="77777777" w:rsidR="005C7FCD" w:rsidRPr="005C7FCD" w:rsidRDefault="005C7FCD" w:rsidP="005C7FCD">
            <w:pPr>
              <w:rPr>
                <w:rFonts w:ascii="Calibri" w:hAnsi="Calibri" w:cs="Calibri"/>
                <w:lang w:val="en-ID"/>
              </w:rPr>
            </w:pPr>
            <w:r w:rsidRPr="005C7FCD">
              <w:rPr>
                <w:rFonts w:ascii="Calibri" w:hAnsi="Calibri" w:cs="Calibri"/>
                <w:lang w:val="en-ID"/>
              </w:rPr>
              <w:t>Mandatory and recommended entities are expected to develop an Energy Conservation program, which may consist of:</w:t>
            </w:r>
            <w:r w:rsidRPr="005C7FCD">
              <w:rPr>
                <w:rFonts w:ascii="Calibri" w:hAnsi="Calibri" w:cs="Calibri"/>
                <w:lang w:val="en-ID"/>
              </w:rPr>
              <w:br/>
              <w:t>a. Energy Management;</w:t>
            </w:r>
            <w:r w:rsidRPr="005C7FCD">
              <w:rPr>
                <w:rFonts w:ascii="Calibri" w:hAnsi="Calibri" w:cs="Calibri"/>
                <w:lang w:val="en-ID"/>
              </w:rPr>
              <w:br/>
              <w:t>b. Energy performance standards and energy-saving labels;</w:t>
            </w:r>
            <w:r w:rsidRPr="005C7FCD">
              <w:rPr>
                <w:rFonts w:ascii="Calibri" w:hAnsi="Calibri" w:cs="Calibri"/>
                <w:lang w:val="en-ID"/>
              </w:rPr>
              <w:br/>
              <w:t>c. Energy Conservation financing;</w:t>
            </w:r>
            <w:r w:rsidRPr="005C7FCD">
              <w:rPr>
                <w:rFonts w:ascii="Calibri" w:hAnsi="Calibri" w:cs="Calibri"/>
                <w:lang w:val="en-ID"/>
              </w:rPr>
              <w:br/>
              <w:t>d. Development of Energy Conservation service businesses;</w:t>
            </w:r>
            <w:r w:rsidRPr="005C7FCD">
              <w:rPr>
                <w:rFonts w:ascii="Calibri" w:hAnsi="Calibri" w:cs="Calibri"/>
                <w:lang w:val="en-ID"/>
              </w:rPr>
              <w:br/>
              <w:t>e. Increasing awareness of Energy Conservation;</w:t>
            </w:r>
            <w:r w:rsidRPr="005C7FCD">
              <w:rPr>
                <w:rFonts w:ascii="Calibri" w:hAnsi="Calibri" w:cs="Calibri"/>
                <w:lang w:val="en-ID"/>
              </w:rPr>
              <w:br/>
              <w:t>f. Capacity building of human resources;</w:t>
            </w:r>
            <w:r w:rsidRPr="005C7FCD">
              <w:rPr>
                <w:rFonts w:ascii="Calibri" w:hAnsi="Calibri" w:cs="Calibri"/>
                <w:lang w:val="en-ID"/>
              </w:rPr>
              <w:br/>
              <w:t>g. Research and innovation; and/or</w:t>
            </w:r>
            <w:r w:rsidRPr="005C7FCD">
              <w:rPr>
                <w:rFonts w:ascii="Calibri" w:hAnsi="Calibri" w:cs="Calibri"/>
                <w:lang w:val="en-ID"/>
              </w:rPr>
              <w:br/>
              <w:t>h. Cooperation in the field of Energy Conservation.</w:t>
            </w:r>
          </w:p>
          <w:p w14:paraId="089BA419" w14:textId="08EB3085" w:rsidR="00474855" w:rsidRPr="00AD76E5" w:rsidRDefault="005C7FCD" w:rsidP="005C7FCD">
            <w:pPr>
              <w:rPr>
                <w:rFonts w:ascii="Calibri" w:hAnsi="Calibri" w:cs="Calibri"/>
                <w:lang w:val="en-ID"/>
              </w:rPr>
            </w:pPr>
            <w:r w:rsidRPr="005C7FCD">
              <w:rPr>
                <w:rFonts w:ascii="Calibri" w:hAnsi="Calibri" w:cs="Calibri"/>
                <w:lang w:val="en-ID"/>
              </w:rPr>
              <w:t>As for financing, it remains voluntary, with the government expected to encourage financial institutions—such as Bank Indonesia and the Financial Services Authority—to support the financing of Energy Conservation efforts.</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7B8BF0E4" w:rsidR="003618D4" w:rsidRPr="00C37D48" w:rsidRDefault="00AD76E5" w:rsidP="00C37D48">
            <w:pPr>
              <w:rPr>
                <w:rFonts w:ascii="Calibri" w:hAnsi="Calibri" w:cs="Calibri"/>
              </w:rPr>
            </w:pPr>
            <w:r>
              <w:rPr>
                <w:rFonts w:ascii="Calibri" w:hAnsi="Calibri" w:cs="Calibri"/>
              </w:rP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4186EDC9" w:rsidR="003618D4" w:rsidRPr="00C37D48" w:rsidRDefault="00AD76E5" w:rsidP="00C37D48">
            <w:pPr>
              <w:rPr>
                <w:rFonts w:ascii="Calibri" w:hAnsi="Calibri" w:cs="Calibri"/>
              </w:rPr>
            </w:pPr>
            <w:r>
              <w:rPr>
                <w:rFonts w:ascii="Calibri" w:hAnsi="Calibri" w:cs="Calibri"/>
              </w:rPr>
              <w:t>X</w:t>
            </w: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29FB8DCB" w:rsidR="003618D4" w:rsidRPr="00C37D48" w:rsidRDefault="00AD76E5"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05CFF0D" w:rsidR="003618D4" w:rsidRPr="00C37D48" w:rsidRDefault="00AD76E5" w:rsidP="00C37D48">
            <w:pPr>
              <w:rPr>
                <w:rFonts w:ascii="Calibri" w:hAnsi="Calibri" w:cs="Calibri"/>
              </w:rPr>
            </w:pPr>
            <w:r>
              <w:rPr>
                <w:rFonts w:ascii="Calibri" w:hAnsi="Calibri" w:cs="Calibri"/>
              </w:rPr>
              <w:t>X</w:t>
            </w: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3AB1770E" w:rsidR="003618D4" w:rsidRPr="00C37D48" w:rsidRDefault="00AD76E5"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5DDED06A" w:rsidR="003618D4" w:rsidRPr="00C37D48" w:rsidRDefault="003618D4" w:rsidP="00C37D48">
            <w:pPr>
              <w:rPr>
                <w:rFonts w:ascii="Calibri" w:hAnsi="Calibri" w:cs="Calibri"/>
              </w:rPr>
            </w:pPr>
          </w:p>
        </w:tc>
        <w:tc>
          <w:tcPr>
            <w:tcW w:w="2363" w:type="dxa"/>
            <w:vAlign w:val="center"/>
          </w:tcPr>
          <w:p w14:paraId="6D743F6E" w14:textId="13205ECE" w:rsidR="003618D4" w:rsidRPr="00C37D48" w:rsidRDefault="00413A29"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5FD4F1CC" w:rsidR="005733AF" w:rsidRPr="00C37D48" w:rsidRDefault="00CA48FC" w:rsidP="00C37D48">
            <w:pPr>
              <w:rPr>
                <w:rFonts w:ascii="Calibri" w:hAnsi="Calibri" w:cs="Calibri"/>
              </w:rPr>
            </w:pPr>
            <w:r w:rsidRPr="00CA48FC">
              <w:rPr>
                <w:rFonts w:ascii="Calibri" w:hAnsi="Calibri" w:cs="Calibri"/>
              </w:rPr>
              <w:t>Energy Providers, including various business entities, are recommended to implement Energy Management by appointing an energy manager, preparing an Energy Efficiency program, conducting periodic Energy Audits, and implementing the resulting recommendations. The Energy Efficiency program should include details such as planned actions, types and amounts of energy consumed, use of energy-saving equipment, efficiency measures, output of products or services, and overall energy performance. Periodic Energy Audits must be conducted by certified internal or external energy auditors.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4775FCA0" w:rsidR="00E7486E" w:rsidRPr="00C37D48" w:rsidRDefault="00413A29"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549BB4A0" w:rsidR="00E7486E" w:rsidRPr="00CA48FC" w:rsidRDefault="00CA48FC" w:rsidP="00C37D48">
            <w:r>
              <w:t>For the implementation of Energy Management, Energy Providers, along with internal and/or external Energy Auditors who hold certificates of competency, are responsible for monitoring the execution of energy conservation programs. They conduct periodic audits of the Energy Management reports. In the transportation, industrial, and building sectors, these reports must be submitted to the Ministry of Energy and Mineral Resources (MEMR) annually for evaluation.</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7EDDE41A" w:rsidR="00671EA4" w:rsidRPr="00C37D48" w:rsidRDefault="00CA48FC"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0F504C7E"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A8DDFF6" w:rsidR="00B610C2" w:rsidRPr="00610F28" w:rsidRDefault="00413A29"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2FD5EAB0" w:rsidR="00B610C2" w:rsidRPr="00610F28" w:rsidRDefault="00413A29"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3C992167" w:rsidR="00B610C2" w:rsidRPr="00610F28" w:rsidRDefault="00413A29"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59A3407C" w:rsidR="00B610C2" w:rsidRPr="00610F28" w:rsidRDefault="00413A29"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6EDCD9B" w:rsidR="00B610C2" w:rsidRPr="00610F28" w:rsidRDefault="00413A29"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BF5971D" w:rsidR="00B610C2" w:rsidRPr="00610F28" w:rsidRDefault="00413A29"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7B30B47" w:rsidR="00B610C2" w:rsidRPr="00610F28" w:rsidRDefault="00413A29"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AC4712C" w:rsidR="00B610C2" w:rsidRPr="00610F28" w:rsidRDefault="00413A29"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D36584F" w:rsidR="00B610C2" w:rsidRPr="00610F28" w:rsidRDefault="00413A29"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8E6B8CD" w:rsidR="00B610C2" w:rsidRPr="00610F28" w:rsidRDefault="00413A29"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364C4BBE" w:rsidR="00B610C2" w:rsidRPr="00610F28" w:rsidRDefault="00413A29"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5721DB0B"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6BD1108B"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265D5C"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265D5C"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265D5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265D5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1F6CEE" w14:textId="77777777" w:rsidR="004E3F0F" w:rsidRDefault="004E3F0F" w:rsidP="00874E39">
      <w:r>
        <w:separator/>
      </w:r>
    </w:p>
  </w:endnote>
  <w:endnote w:type="continuationSeparator" w:id="0">
    <w:p w14:paraId="2D8A1DB7" w14:textId="77777777" w:rsidR="004E3F0F" w:rsidRDefault="004E3F0F" w:rsidP="00874E39">
      <w:r>
        <w:continuationSeparator/>
      </w:r>
    </w:p>
  </w:endnote>
  <w:endnote w:type="continuationNotice" w:id="1">
    <w:p w14:paraId="4D4EE19A" w14:textId="77777777" w:rsidR="004E3F0F" w:rsidRDefault="004E3F0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10D7DDF" w14:textId="77777777" w:rsidR="004E3F0F" w:rsidRDefault="004E3F0F" w:rsidP="00874E39">
      <w:r>
        <w:separator/>
      </w:r>
    </w:p>
  </w:footnote>
  <w:footnote w:type="continuationSeparator" w:id="0">
    <w:p w14:paraId="5B778AEF" w14:textId="77777777" w:rsidR="004E3F0F" w:rsidRDefault="004E3F0F" w:rsidP="00874E39">
      <w:r>
        <w:continuationSeparator/>
      </w:r>
    </w:p>
  </w:footnote>
  <w:footnote w:type="continuationNotice" w:id="1">
    <w:p w14:paraId="3C07105B" w14:textId="77777777" w:rsidR="004E3F0F" w:rsidRDefault="004E3F0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7A7E8F"/>
    <w:multiLevelType w:val="hybridMultilevel"/>
    <w:tmpl w:val="51768CD8"/>
    <w:lvl w:ilvl="0" w:tplc="44060CDA">
      <w:start w:val="16"/>
      <w:numFmt w:val="bullet"/>
      <w:lvlText w:val="-"/>
      <w:lvlJc w:val="left"/>
      <w:pPr>
        <w:ind w:left="720" w:hanging="360"/>
      </w:pPr>
      <w:rPr>
        <w:rFonts w:ascii="Calibri" w:eastAsiaTheme="minorHAnsi" w:hAnsi="Calibri" w:cs="Calibri" w:hint="default"/>
      </w:rPr>
    </w:lvl>
    <w:lvl w:ilvl="1" w:tplc="38090003" w:tentative="1">
      <w:start w:val="1"/>
      <w:numFmt w:val="bullet"/>
      <w:lvlText w:val="o"/>
      <w:lvlJc w:val="left"/>
      <w:pPr>
        <w:ind w:left="1440" w:hanging="360"/>
      </w:pPr>
      <w:rPr>
        <w:rFonts w:ascii="Courier New" w:hAnsi="Courier New" w:cs="Courier New" w:hint="default"/>
      </w:rPr>
    </w:lvl>
    <w:lvl w:ilvl="2" w:tplc="38090005" w:tentative="1">
      <w:start w:val="1"/>
      <w:numFmt w:val="bullet"/>
      <w:lvlText w:val=""/>
      <w:lvlJc w:val="left"/>
      <w:pPr>
        <w:ind w:left="2160" w:hanging="360"/>
      </w:pPr>
      <w:rPr>
        <w:rFonts w:ascii="Wingdings" w:hAnsi="Wingdings" w:hint="default"/>
      </w:rPr>
    </w:lvl>
    <w:lvl w:ilvl="3" w:tplc="38090001" w:tentative="1">
      <w:start w:val="1"/>
      <w:numFmt w:val="bullet"/>
      <w:lvlText w:val=""/>
      <w:lvlJc w:val="left"/>
      <w:pPr>
        <w:ind w:left="2880" w:hanging="360"/>
      </w:pPr>
      <w:rPr>
        <w:rFonts w:ascii="Symbol" w:hAnsi="Symbol" w:hint="default"/>
      </w:rPr>
    </w:lvl>
    <w:lvl w:ilvl="4" w:tplc="38090003" w:tentative="1">
      <w:start w:val="1"/>
      <w:numFmt w:val="bullet"/>
      <w:lvlText w:val="o"/>
      <w:lvlJc w:val="left"/>
      <w:pPr>
        <w:ind w:left="3600" w:hanging="360"/>
      </w:pPr>
      <w:rPr>
        <w:rFonts w:ascii="Courier New" w:hAnsi="Courier New" w:cs="Courier New" w:hint="default"/>
      </w:rPr>
    </w:lvl>
    <w:lvl w:ilvl="5" w:tplc="38090005" w:tentative="1">
      <w:start w:val="1"/>
      <w:numFmt w:val="bullet"/>
      <w:lvlText w:val=""/>
      <w:lvlJc w:val="left"/>
      <w:pPr>
        <w:ind w:left="4320" w:hanging="360"/>
      </w:pPr>
      <w:rPr>
        <w:rFonts w:ascii="Wingdings" w:hAnsi="Wingdings" w:hint="default"/>
      </w:rPr>
    </w:lvl>
    <w:lvl w:ilvl="6" w:tplc="38090001" w:tentative="1">
      <w:start w:val="1"/>
      <w:numFmt w:val="bullet"/>
      <w:lvlText w:val=""/>
      <w:lvlJc w:val="left"/>
      <w:pPr>
        <w:ind w:left="5040" w:hanging="360"/>
      </w:pPr>
      <w:rPr>
        <w:rFonts w:ascii="Symbol" w:hAnsi="Symbol" w:hint="default"/>
      </w:rPr>
    </w:lvl>
    <w:lvl w:ilvl="7" w:tplc="38090003" w:tentative="1">
      <w:start w:val="1"/>
      <w:numFmt w:val="bullet"/>
      <w:lvlText w:val="o"/>
      <w:lvlJc w:val="left"/>
      <w:pPr>
        <w:ind w:left="5760" w:hanging="360"/>
      </w:pPr>
      <w:rPr>
        <w:rFonts w:ascii="Courier New" w:hAnsi="Courier New" w:cs="Courier New" w:hint="default"/>
      </w:rPr>
    </w:lvl>
    <w:lvl w:ilvl="8" w:tplc="38090005" w:tentative="1">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635520733">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590E"/>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6004"/>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5F5C"/>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B86"/>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0FB5"/>
    <w:rsid w:val="00222757"/>
    <w:rsid w:val="00222DFA"/>
    <w:rsid w:val="00222E01"/>
    <w:rsid w:val="00223639"/>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5D5C"/>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267"/>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7D2"/>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A29"/>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6DEB"/>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3F0F"/>
    <w:rsid w:val="004E4F56"/>
    <w:rsid w:val="004E51B5"/>
    <w:rsid w:val="004E6179"/>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3C2C"/>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C7FCD"/>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17E"/>
    <w:rsid w:val="005F7A89"/>
    <w:rsid w:val="005F7AC4"/>
    <w:rsid w:val="005F7DD3"/>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26D"/>
    <w:rsid w:val="006143C5"/>
    <w:rsid w:val="006144DA"/>
    <w:rsid w:val="00615CDA"/>
    <w:rsid w:val="00616D73"/>
    <w:rsid w:val="00617678"/>
    <w:rsid w:val="00620CAC"/>
    <w:rsid w:val="006225F1"/>
    <w:rsid w:val="006229D5"/>
    <w:rsid w:val="006231E7"/>
    <w:rsid w:val="006239D6"/>
    <w:rsid w:val="00626B40"/>
    <w:rsid w:val="00627002"/>
    <w:rsid w:val="00630D85"/>
    <w:rsid w:val="006317B0"/>
    <w:rsid w:val="00631996"/>
    <w:rsid w:val="00631AAB"/>
    <w:rsid w:val="006321A7"/>
    <w:rsid w:val="00633547"/>
    <w:rsid w:val="00633612"/>
    <w:rsid w:val="00633E8C"/>
    <w:rsid w:val="0063488C"/>
    <w:rsid w:val="00636096"/>
    <w:rsid w:val="00636C39"/>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4B34"/>
    <w:rsid w:val="00655BD9"/>
    <w:rsid w:val="00655FF7"/>
    <w:rsid w:val="006561EB"/>
    <w:rsid w:val="006562BF"/>
    <w:rsid w:val="00656A7C"/>
    <w:rsid w:val="0066041A"/>
    <w:rsid w:val="006621B6"/>
    <w:rsid w:val="00662520"/>
    <w:rsid w:val="00662657"/>
    <w:rsid w:val="006636CE"/>
    <w:rsid w:val="00663763"/>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3E85"/>
    <w:rsid w:val="006A4C24"/>
    <w:rsid w:val="006A4C9F"/>
    <w:rsid w:val="006A63B5"/>
    <w:rsid w:val="006B07E5"/>
    <w:rsid w:val="006B0C0B"/>
    <w:rsid w:val="006B2C46"/>
    <w:rsid w:val="006B4FC8"/>
    <w:rsid w:val="006B6168"/>
    <w:rsid w:val="006B61C2"/>
    <w:rsid w:val="006B7780"/>
    <w:rsid w:val="006B7B0D"/>
    <w:rsid w:val="006C0795"/>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BDD"/>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0D85"/>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36B"/>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96C"/>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3961"/>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49A8"/>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970CE"/>
    <w:rsid w:val="00AA186B"/>
    <w:rsid w:val="00AA38F6"/>
    <w:rsid w:val="00AA4965"/>
    <w:rsid w:val="00AA6DDB"/>
    <w:rsid w:val="00AB0830"/>
    <w:rsid w:val="00AB2CCC"/>
    <w:rsid w:val="00AB4F2C"/>
    <w:rsid w:val="00AB64F8"/>
    <w:rsid w:val="00AB7E5A"/>
    <w:rsid w:val="00AC6ECF"/>
    <w:rsid w:val="00AC7B6B"/>
    <w:rsid w:val="00AD1216"/>
    <w:rsid w:val="00AD1BC7"/>
    <w:rsid w:val="00AD4477"/>
    <w:rsid w:val="00AD4F51"/>
    <w:rsid w:val="00AD5285"/>
    <w:rsid w:val="00AD54D3"/>
    <w:rsid w:val="00AD70E0"/>
    <w:rsid w:val="00AD76E5"/>
    <w:rsid w:val="00AE0028"/>
    <w:rsid w:val="00AE00FE"/>
    <w:rsid w:val="00AE0451"/>
    <w:rsid w:val="00AE0803"/>
    <w:rsid w:val="00AE0ADB"/>
    <w:rsid w:val="00AE2662"/>
    <w:rsid w:val="00AE3CBD"/>
    <w:rsid w:val="00AE5D21"/>
    <w:rsid w:val="00AE7C5F"/>
    <w:rsid w:val="00AF08A8"/>
    <w:rsid w:val="00AF0C8E"/>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7BC"/>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B19"/>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668"/>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C07"/>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48FC"/>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561"/>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6B7C"/>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4B0"/>
    <w:rsid w:val="00DB2C4B"/>
    <w:rsid w:val="00DB2CAA"/>
    <w:rsid w:val="00DB4C6F"/>
    <w:rsid w:val="00DB61E7"/>
    <w:rsid w:val="00DB6C3C"/>
    <w:rsid w:val="00DC18A5"/>
    <w:rsid w:val="00DC1D8C"/>
    <w:rsid w:val="00DC231D"/>
    <w:rsid w:val="00DC31BF"/>
    <w:rsid w:val="00DC33EF"/>
    <w:rsid w:val="00DC39B2"/>
    <w:rsid w:val="00DC4911"/>
    <w:rsid w:val="00DC7CFF"/>
    <w:rsid w:val="00DC7EFD"/>
    <w:rsid w:val="00DD090B"/>
    <w:rsid w:val="00DD15AE"/>
    <w:rsid w:val="00DD292A"/>
    <w:rsid w:val="00DD3144"/>
    <w:rsid w:val="00DD35ED"/>
    <w:rsid w:val="00DD3B33"/>
    <w:rsid w:val="00DD4AEB"/>
    <w:rsid w:val="00DD694D"/>
    <w:rsid w:val="00DD72BD"/>
    <w:rsid w:val="00DD761B"/>
    <w:rsid w:val="00DD7D0F"/>
    <w:rsid w:val="00DE0079"/>
    <w:rsid w:val="00DE0517"/>
    <w:rsid w:val="00DE11DA"/>
    <w:rsid w:val="00DE3DC0"/>
    <w:rsid w:val="00DE78F0"/>
    <w:rsid w:val="00DF001D"/>
    <w:rsid w:val="00DF0A63"/>
    <w:rsid w:val="00DF2285"/>
    <w:rsid w:val="00DF3F6F"/>
    <w:rsid w:val="00DF4489"/>
    <w:rsid w:val="00DF50B5"/>
    <w:rsid w:val="00DF6212"/>
    <w:rsid w:val="00DF6BE4"/>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DA6"/>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0DEB"/>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8AC"/>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3EC2"/>
    <w:rsid w:val="00EF4A01"/>
    <w:rsid w:val="00EF56B9"/>
    <w:rsid w:val="00EF5AF0"/>
    <w:rsid w:val="00EF62FD"/>
    <w:rsid w:val="00F0075B"/>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EB18AC"/>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1137485">
      <w:bodyDiv w:val="1"/>
      <w:marLeft w:val="0"/>
      <w:marRight w:val="0"/>
      <w:marTop w:val="0"/>
      <w:marBottom w:val="0"/>
      <w:divBdr>
        <w:top w:val="none" w:sz="0" w:space="0" w:color="auto"/>
        <w:left w:val="none" w:sz="0" w:space="0" w:color="auto"/>
        <w:bottom w:val="none" w:sz="0" w:space="0" w:color="auto"/>
        <w:right w:val="none" w:sz="0" w:space="0" w:color="auto"/>
      </w:divBdr>
    </w:div>
    <w:div w:id="322204866">
      <w:bodyDiv w:val="1"/>
      <w:marLeft w:val="0"/>
      <w:marRight w:val="0"/>
      <w:marTop w:val="0"/>
      <w:marBottom w:val="0"/>
      <w:divBdr>
        <w:top w:val="none" w:sz="0" w:space="0" w:color="auto"/>
        <w:left w:val="none" w:sz="0" w:space="0" w:color="auto"/>
        <w:bottom w:val="none" w:sz="0" w:space="0" w:color="auto"/>
        <w:right w:val="none" w:sz="0" w:space="0" w:color="auto"/>
      </w:divBdr>
    </w:div>
    <w:div w:id="394353132">
      <w:bodyDiv w:val="1"/>
      <w:marLeft w:val="0"/>
      <w:marRight w:val="0"/>
      <w:marTop w:val="0"/>
      <w:marBottom w:val="0"/>
      <w:divBdr>
        <w:top w:val="none" w:sz="0" w:space="0" w:color="auto"/>
        <w:left w:val="none" w:sz="0" w:space="0" w:color="auto"/>
        <w:bottom w:val="none" w:sz="0" w:space="0" w:color="auto"/>
        <w:right w:val="none" w:sz="0" w:space="0" w:color="auto"/>
      </w:divBdr>
      <w:divsChild>
        <w:div w:id="293683338">
          <w:marLeft w:val="0"/>
          <w:marRight w:val="0"/>
          <w:marTop w:val="0"/>
          <w:marBottom w:val="0"/>
          <w:divBdr>
            <w:top w:val="none" w:sz="0" w:space="0" w:color="auto"/>
            <w:left w:val="none" w:sz="0" w:space="0" w:color="auto"/>
            <w:bottom w:val="none" w:sz="0" w:space="0" w:color="auto"/>
            <w:right w:val="none" w:sz="0" w:space="0" w:color="auto"/>
          </w:divBdr>
          <w:divsChild>
            <w:div w:id="1719893738">
              <w:marLeft w:val="0"/>
              <w:marRight w:val="0"/>
              <w:marTop w:val="0"/>
              <w:marBottom w:val="0"/>
              <w:divBdr>
                <w:top w:val="none" w:sz="0" w:space="0" w:color="auto"/>
                <w:left w:val="none" w:sz="0" w:space="0" w:color="auto"/>
                <w:bottom w:val="none" w:sz="0" w:space="0" w:color="auto"/>
                <w:right w:val="none" w:sz="0" w:space="0" w:color="auto"/>
              </w:divBdr>
              <w:divsChild>
                <w:div w:id="246962385">
                  <w:marLeft w:val="0"/>
                  <w:marRight w:val="0"/>
                  <w:marTop w:val="0"/>
                  <w:marBottom w:val="0"/>
                  <w:divBdr>
                    <w:top w:val="none" w:sz="0" w:space="0" w:color="auto"/>
                    <w:left w:val="none" w:sz="0" w:space="0" w:color="auto"/>
                    <w:bottom w:val="none" w:sz="0" w:space="0" w:color="auto"/>
                    <w:right w:val="none" w:sz="0" w:space="0" w:color="auto"/>
                  </w:divBdr>
                  <w:divsChild>
                    <w:div w:id="220992614">
                      <w:marLeft w:val="0"/>
                      <w:marRight w:val="0"/>
                      <w:marTop w:val="0"/>
                      <w:marBottom w:val="0"/>
                      <w:divBdr>
                        <w:top w:val="none" w:sz="0" w:space="0" w:color="auto"/>
                        <w:left w:val="none" w:sz="0" w:space="0" w:color="auto"/>
                        <w:bottom w:val="none" w:sz="0" w:space="0" w:color="auto"/>
                        <w:right w:val="none" w:sz="0" w:space="0" w:color="auto"/>
                      </w:divBdr>
                      <w:divsChild>
                        <w:div w:id="359167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70096496">
      <w:bodyDiv w:val="1"/>
      <w:marLeft w:val="0"/>
      <w:marRight w:val="0"/>
      <w:marTop w:val="0"/>
      <w:marBottom w:val="0"/>
      <w:divBdr>
        <w:top w:val="none" w:sz="0" w:space="0" w:color="auto"/>
        <w:left w:val="none" w:sz="0" w:space="0" w:color="auto"/>
        <w:bottom w:val="none" w:sz="0" w:space="0" w:color="auto"/>
        <w:right w:val="none" w:sz="0" w:space="0" w:color="auto"/>
      </w:divBdr>
    </w:div>
    <w:div w:id="539365377">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62260544">
      <w:bodyDiv w:val="1"/>
      <w:marLeft w:val="0"/>
      <w:marRight w:val="0"/>
      <w:marTop w:val="0"/>
      <w:marBottom w:val="0"/>
      <w:divBdr>
        <w:top w:val="none" w:sz="0" w:space="0" w:color="auto"/>
        <w:left w:val="none" w:sz="0" w:space="0" w:color="auto"/>
        <w:bottom w:val="none" w:sz="0" w:space="0" w:color="auto"/>
        <w:right w:val="none" w:sz="0" w:space="0" w:color="auto"/>
      </w:divBdr>
      <w:divsChild>
        <w:div w:id="1278870623">
          <w:marLeft w:val="0"/>
          <w:marRight w:val="0"/>
          <w:marTop w:val="0"/>
          <w:marBottom w:val="0"/>
          <w:divBdr>
            <w:top w:val="none" w:sz="0" w:space="0" w:color="auto"/>
            <w:left w:val="none" w:sz="0" w:space="0" w:color="auto"/>
            <w:bottom w:val="none" w:sz="0" w:space="0" w:color="auto"/>
            <w:right w:val="none" w:sz="0" w:space="0" w:color="auto"/>
          </w:divBdr>
          <w:divsChild>
            <w:div w:id="1279872961">
              <w:marLeft w:val="0"/>
              <w:marRight w:val="0"/>
              <w:marTop w:val="0"/>
              <w:marBottom w:val="0"/>
              <w:divBdr>
                <w:top w:val="none" w:sz="0" w:space="0" w:color="auto"/>
                <w:left w:val="none" w:sz="0" w:space="0" w:color="auto"/>
                <w:bottom w:val="none" w:sz="0" w:space="0" w:color="auto"/>
                <w:right w:val="none" w:sz="0" w:space="0" w:color="auto"/>
              </w:divBdr>
              <w:divsChild>
                <w:div w:id="710305828">
                  <w:marLeft w:val="0"/>
                  <w:marRight w:val="0"/>
                  <w:marTop w:val="0"/>
                  <w:marBottom w:val="0"/>
                  <w:divBdr>
                    <w:top w:val="none" w:sz="0" w:space="0" w:color="auto"/>
                    <w:left w:val="none" w:sz="0" w:space="0" w:color="auto"/>
                    <w:bottom w:val="none" w:sz="0" w:space="0" w:color="auto"/>
                    <w:right w:val="none" w:sz="0" w:space="0" w:color="auto"/>
                  </w:divBdr>
                  <w:divsChild>
                    <w:div w:id="1094547922">
                      <w:marLeft w:val="0"/>
                      <w:marRight w:val="0"/>
                      <w:marTop w:val="0"/>
                      <w:marBottom w:val="0"/>
                      <w:divBdr>
                        <w:top w:val="none" w:sz="0" w:space="0" w:color="auto"/>
                        <w:left w:val="none" w:sz="0" w:space="0" w:color="auto"/>
                        <w:bottom w:val="none" w:sz="0" w:space="0" w:color="auto"/>
                        <w:right w:val="none" w:sz="0" w:space="0" w:color="auto"/>
                      </w:divBdr>
                      <w:divsChild>
                        <w:div w:id="700134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8668573">
      <w:bodyDiv w:val="1"/>
      <w:marLeft w:val="0"/>
      <w:marRight w:val="0"/>
      <w:marTop w:val="0"/>
      <w:marBottom w:val="0"/>
      <w:divBdr>
        <w:top w:val="none" w:sz="0" w:space="0" w:color="auto"/>
        <w:left w:val="none" w:sz="0" w:space="0" w:color="auto"/>
        <w:bottom w:val="none" w:sz="0" w:space="0" w:color="auto"/>
        <w:right w:val="none" w:sz="0" w:space="0" w:color="auto"/>
      </w:divBdr>
    </w:div>
    <w:div w:id="1145661966">
      <w:bodyDiv w:val="1"/>
      <w:marLeft w:val="0"/>
      <w:marRight w:val="0"/>
      <w:marTop w:val="0"/>
      <w:marBottom w:val="0"/>
      <w:divBdr>
        <w:top w:val="none" w:sz="0" w:space="0" w:color="auto"/>
        <w:left w:val="none" w:sz="0" w:space="0" w:color="auto"/>
        <w:bottom w:val="none" w:sz="0" w:space="0" w:color="auto"/>
        <w:right w:val="none" w:sz="0" w:space="0" w:color="auto"/>
      </w:divBdr>
      <w:divsChild>
        <w:div w:id="1167865168">
          <w:marLeft w:val="0"/>
          <w:marRight w:val="0"/>
          <w:marTop w:val="0"/>
          <w:marBottom w:val="0"/>
          <w:divBdr>
            <w:top w:val="none" w:sz="0" w:space="0" w:color="auto"/>
            <w:left w:val="none" w:sz="0" w:space="0" w:color="auto"/>
            <w:bottom w:val="none" w:sz="0" w:space="0" w:color="auto"/>
            <w:right w:val="none" w:sz="0" w:space="0" w:color="auto"/>
          </w:divBdr>
          <w:divsChild>
            <w:div w:id="773398325">
              <w:marLeft w:val="0"/>
              <w:marRight w:val="0"/>
              <w:marTop w:val="0"/>
              <w:marBottom w:val="0"/>
              <w:divBdr>
                <w:top w:val="none" w:sz="0" w:space="0" w:color="auto"/>
                <w:left w:val="none" w:sz="0" w:space="0" w:color="auto"/>
                <w:bottom w:val="none" w:sz="0" w:space="0" w:color="auto"/>
                <w:right w:val="none" w:sz="0" w:space="0" w:color="auto"/>
              </w:divBdr>
              <w:divsChild>
                <w:div w:id="1918898639">
                  <w:marLeft w:val="0"/>
                  <w:marRight w:val="0"/>
                  <w:marTop w:val="0"/>
                  <w:marBottom w:val="0"/>
                  <w:divBdr>
                    <w:top w:val="none" w:sz="0" w:space="0" w:color="auto"/>
                    <w:left w:val="none" w:sz="0" w:space="0" w:color="auto"/>
                    <w:bottom w:val="none" w:sz="0" w:space="0" w:color="auto"/>
                    <w:right w:val="none" w:sz="0" w:space="0" w:color="auto"/>
                  </w:divBdr>
                  <w:divsChild>
                    <w:div w:id="1892381533">
                      <w:marLeft w:val="0"/>
                      <w:marRight w:val="0"/>
                      <w:marTop w:val="0"/>
                      <w:marBottom w:val="0"/>
                      <w:divBdr>
                        <w:top w:val="none" w:sz="0" w:space="0" w:color="auto"/>
                        <w:left w:val="none" w:sz="0" w:space="0" w:color="auto"/>
                        <w:bottom w:val="none" w:sz="0" w:space="0" w:color="auto"/>
                        <w:right w:val="none" w:sz="0" w:space="0" w:color="auto"/>
                      </w:divBdr>
                      <w:divsChild>
                        <w:div w:id="733237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51798466">
      <w:bodyDiv w:val="1"/>
      <w:marLeft w:val="0"/>
      <w:marRight w:val="0"/>
      <w:marTop w:val="0"/>
      <w:marBottom w:val="0"/>
      <w:divBdr>
        <w:top w:val="none" w:sz="0" w:space="0" w:color="auto"/>
        <w:left w:val="none" w:sz="0" w:space="0" w:color="auto"/>
        <w:bottom w:val="none" w:sz="0" w:space="0" w:color="auto"/>
        <w:right w:val="none" w:sz="0" w:space="0" w:color="auto"/>
      </w:divBdr>
    </w:div>
    <w:div w:id="115876823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791810">
      <w:bodyDiv w:val="1"/>
      <w:marLeft w:val="0"/>
      <w:marRight w:val="0"/>
      <w:marTop w:val="0"/>
      <w:marBottom w:val="0"/>
      <w:divBdr>
        <w:top w:val="none" w:sz="0" w:space="0" w:color="auto"/>
        <w:left w:val="none" w:sz="0" w:space="0" w:color="auto"/>
        <w:bottom w:val="none" w:sz="0" w:space="0" w:color="auto"/>
        <w:right w:val="none" w:sz="0" w:space="0" w:color="auto"/>
      </w:divBdr>
    </w:div>
    <w:div w:id="1410735224">
      <w:bodyDiv w:val="1"/>
      <w:marLeft w:val="0"/>
      <w:marRight w:val="0"/>
      <w:marTop w:val="0"/>
      <w:marBottom w:val="0"/>
      <w:divBdr>
        <w:top w:val="none" w:sz="0" w:space="0" w:color="auto"/>
        <w:left w:val="none" w:sz="0" w:space="0" w:color="auto"/>
        <w:bottom w:val="none" w:sz="0" w:space="0" w:color="auto"/>
        <w:right w:val="none" w:sz="0" w:space="0" w:color="auto"/>
      </w:divBdr>
    </w:div>
    <w:div w:id="1497723878">
      <w:bodyDiv w:val="1"/>
      <w:marLeft w:val="0"/>
      <w:marRight w:val="0"/>
      <w:marTop w:val="0"/>
      <w:marBottom w:val="0"/>
      <w:divBdr>
        <w:top w:val="none" w:sz="0" w:space="0" w:color="auto"/>
        <w:left w:val="none" w:sz="0" w:space="0" w:color="auto"/>
        <w:bottom w:val="none" w:sz="0" w:space="0" w:color="auto"/>
        <w:right w:val="none" w:sz="0" w:space="0" w:color="auto"/>
      </w:divBdr>
    </w:div>
    <w:div w:id="1535532144">
      <w:bodyDiv w:val="1"/>
      <w:marLeft w:val="0"/>
      <w:marRight w:val="0"/>
      <w:marTop w:val="0"/>
      <w:marBottom w:val="0"/>
      <w:divBdr>
        <w:top w:val="none" w:sz="0" w:space="0" w:color="auto"/>
        <w:left w:val="none" w:sz="0" w:space="0" w:color="auto"/>
        <w:bottom w:val="none" w:sz="0" w:space="0" w:color="auto"/>
        <w:right w:val="none" w:sz="0" w:space="0" w:color="auto"/>
      </w:divBdr>
      <w:divsChild>
        <w:div w:id="1017463064">
          <w:marLeft w:val="0"/>
          <w:marRight w:val="0"/>
          <w:marTop w:val="0"/>
          <w:marBottom w:val="0"/>
          <w:divBdr>
            <w:top w:val="none" w:sz="0" w:space="0" w:color="auto"/>
            <w:left w:val="none" w:sz="0" w:space="0" w:color="auto"/>
            <w:bottom w:val="none" w:sz="0" w:space="0" w:color="auto"/>
            <w:right w:val="none" w:sz="0" w:space="0" w:color="auto"/>
          </w:divBdr>
          <w:divsChild>
            <w:div w:id="483593909">
              <w:marLeft w:val="0"/>
              <w:marRight w:val="0"/>
              <w:marTop w:val="0"/>
              <w:marBottom w:val="0"/>
              <w:divBdr>
                <w:top w:val="none" w:sz="0" w:space="0" w:color="auto"/>
                <w:left w:val="none" w:sz="0" w:space="0" w:color="auto"/>
                <w:bottom w:val="none" w:sz="0" w:space="0" w:color="auto"/>
                <w:right w:val="none" w:sz="0" w:space="0" w:color="auto"/>
              </w:divBdr>
              <w:divsChild>
                <w:div w:id="1574240800">
                  <w:marLeft w:val="0"/>
                  <w:marRight w:val="0"/>
                  <w:marTop w:val="0"/>
                  <w:marBottom w:val="0"/>
                  <w:divBdr>
                    <w:top w:val="none" w:sz="0" w:space="0" w:color="auto"/>
                    <w:left w:val="none" w:sz="0" w:space="0" w:color="auto"/>
                    <w:bottom w:val="none" w:sz="0" w:space="0" w:color="auto"/>
                    <w:right w:val="none" w:sz="0" w:space="0" w:color="auto"/>
                  </w:divBdr>
                  <w:divsChild>
                    <w:div w:id="338847764">
                      <w:marLeft w:val="0"/>
                      <w:marRight w:val="0"/>
                      <w:marTop w:val="0"/>
                      <w:marBottom w:val="0"/>
                      <w:divBdr>
                        <w:top w:val="none" w:sz="0" w:space="0" w:color="auto"/>
                        <w:left w:val="none" w:sz="0" w:space="0" w:color="auto"/>
                        <w:bottom w:val="none" w:sz="0" w:space="0" w:color="auto"/>
                        <w:right w:val="none" w:sz="0" w:space="0" w:color="auto"/>
                      </w:divBdr>
                      <w:divsChild>
                        <w:div w:id="533618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581035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95448098">
      <w:bodyDiv w:val="1"/>
      <w:marLeft w:val="0"/>
      <w:marRight w:val="0"/>
      <w:marTop w:val="0"/>
      <w:marBottom w:val="0"/>
      <w:divBdr>
        <w:top w:val="none" w:sz="0" w:space="0" w:color="auto"/>
        <w:left w:val="none" w:sz="0" w:space="0" w:color="auto"/>
        <w:bottom w:val="none" w:sz="0" w:space="0" w:color="auto"/>
        <w:right w:val="none" w:sz="0" w:space="0" w:color="auto"/>
      </w:divBdr>
    </w:div>
    <w:div w:id="2050376967">
      <w:bodyDiv w:val="1"/>
      <w:marLeft w:val="0"/>
      <w:marRight w:val="0"/>
      <w:marTop w:val="0"/>
      <w:marBottom w:val="0"/>
      <w:divBdr>
        <w:top w:val="none" w:sz="0" w:space="0" w:color="auto"/>
        <w:left w:val="none" w:sz="0" w:space="0" w:color="auto"/>
        <w:bottom w:val="none" w:sz="0" w:space="0" w:color="auto"/>
        <w:right w:val="none" w:sz="0" w:space="0" w:color="auto"/>
      </w:divBdr>
      <w:divsChild>
        <w:div w:id="187455935">
          <w:marLeft w:val="0"/>
          <w:marRight w:val="0"/>
          <w:marTop w:val="0"/>
          <w:marBottom w:val="0"/>
          <w:divBdr>
            <w:top w:val="single" w:sz="4" w:space="0" w:color="F4F4F4"/>
            <w:left w:val="single" w:sz="4" w:space="0" w:color="F4F4F4"/>
            <w:bottom w:val="single" w:sz="4" w:space="0" w:color="F4F4F4"/>
            <w:right w:val="single" w:sz="4" w:space="0" w:color="F4F4F4"/>
          </w:divBdr>
          <w:divsChild>
            <w:div w:id="367800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1654426">
      <w:bodyDiv w:val="1"/>
      <w:marLeft w:val="0"/>
      <w:marRight w:val="0"/>
      <w:marTop w:val="0"/>
      <w:marBottom w:val="0"/>
      <w:divBdr>
        <w:top w:val="none" w:sz="0" w:space="0" w:color="auto"/>
        <w:left w:val="none" w:sz="0" w:space="0" w:color="auto"/>
        <w:bottom w:val="none" w:sz="0" w:space="0" w:color="auto"/>
        <w:right w:val="none" w:sz="0" w:space="0" w:color="auto"/>
      </w:divBdr>
      <w:divsChild>
        <w:div w:id="883833206">
          <w:marLeft w:val="0"/>
          <w:marRight w:val="0"/>
          <w:marTop w:val="0"/>
          <w:marBottom w:val="0"/>
          <w:divBdr>
            <w:top w:val="single" w:sz="4" w:space="0" w:color="F4F4F4"/>
            <w:left w:val="single" w:sz="4" w:space="0" w:color="F4F4F4"/>
            <w:bottom w:val="single" w:sz="4" w:space="0" w:color="F4F4F4"/>
            <w:right w:val="single" w:sz="4" w:space="0" w:color="F4F4F4"/>
          </w:divBdr>
          <w:divsChild>
            <w:div w:id="1744133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0032029/https://peraturan.bpk.go.id/Details/252083/pp-no-33-tahun-2023"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23194</Words>
  <Characters>132212</Characters>
  <Application>Microsoft Office Word</Application>
  <DocSecurity>0</DocSecurity>
  <Lines>1101</Lines>
  <Paragraphs>310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155096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4</cp:revision>
  <cp:lastPrinted>2025-03-21T00:14:00Z</cp:lastPrinted>
  <dcterms:created xsi:type="dcterms:W3CDTF">2025-08-12T09:43:00Z</dcterms:created>
  <dcterms:modified xsi:type="dcterms:W3CDTF">2025-08-12T09:45:00Z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_DocHome">
    <vt:i4>-1830789104</vt:i4>
  </property>
</Properties>
</file>